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86R11130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health care providers in the provider network of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533.006,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and</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each health care provider in the region who:</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agrees to accept the prevailing provider contract rate of the managed care organization;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 its provider network each of the following that desires to be included:</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each accredited primary care residency program in the region;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each disproportionate share hospital </w:t>
      </w:r>
      <w:r>
        <w:rPr>
          <w:u w:val="single"/>
        </w:rPr>
        <w:t xml:space="preserve">in the region;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community center established in the region under Chapter 534, Health and Safety Code</w:t>
      </w:r>
      <w:r>
        <w:t xml:space="preserve"> [</w:t>
      </w:r>
      <w:r>
        <w:rPr>
          <w:strike/>
        </w:rPr>
        <w:t xml:space="preserve">designated by the commission as a statewide significant traditional provider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allowed by federal law and notwithstanding any state law, the commission shall require that the terms included in a provider contract between a managed care organization described by Subsection (a) and a provider described by Subsection (a)(3) be at least as favorable as the terms the contract would include if the provider were a significant traditional provider in the region in which the organization provides health care services to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