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86R13939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exclusion of certain small public grain warehouses from regulation.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14.011,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14.011.</w:t>
      </w:r>
      <w:r xml:space="preserve">
        <w:t> </w:t>
      </w:r>
      <w:r xml:space="preserve">
        <w:t> </w:t>
      </w:r>
      <w:r>
        <w:t xml:space="preserve">LIMITATION OF CHAPTER.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public grain warehouse covered by a license for the operation of a public grain warehouse issued by the United States Department of Agriculture or other federal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individual producer-owner who does not receive from others grain for storage or handling for hire;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person whose business is manufacturing grain or selling manufactured grain and who receives all grain with the intent to manufacture the grain or sell manufactured grain;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who receives grain with the intent of using the grain for planting seed or for feeding livestock on the premises where the grain is received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grain warehouse with a storage capacity of 10,000 bushels or less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