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86R14106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4111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written statement regarding certain rules adopted by a state agency that issues an occupational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2001, Government Code, is amended by adding Section 2001.042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2001.042.</w:t>
      </w:r>
      <w:r>
        <w:rPr>
          <w:u w:val="single"/>
        </w:rPr>
        <w:t xml:space="preserve"> </w:t>
      </w:r>
      <w:r>
        <w:rPr>
          <w:u w:val="single"/>
        </w:rPr>
        <w:t xml:space="preserve"> </w:t>
      </w:r>
      <w:r>
        <w:rPr>
          <w:u w:val="single"/>
        </w:rPr>
        <w:t xml:space="preserve">WRITTEN STATEMENT REGARDING CERTAIN RULES.  A state agency that issues an occupational license shall make available on its Internet website a written statement regarding each rule adopted by the agency.  The statement must identify the particular health and safety or welfare related reason for which the rule was adopted.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2001.042, Government Code, as added by this Act, applies only to a rule adopted by a state agency on or after the effective date of this Act.  A rule adopted before the effective date of this Act is governed by the law in effect on the date the rule was adopted,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