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86R27839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4114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4114: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4114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water and sewer services by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552, Local Government Code, is amended by adding Subchapter I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I. </w:t>
      </w:r>
      <w:r>
        <w:rPr>
          <w:u w:val="single"/>
        </w:rPr>
        <w:t xml:space="preserve"> </w:t>
      </w:r>
      <w:r>
        <w:rPr>
          <w:u w:val="single"/>
        </w:rPr>
        <w:t xml:space="preserve">MUNICIPAL WATER AND SEWER SERVICES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PROCUREMENT OF WATER AND SEWER SERVICES.  (a) </w:t>
      </w:r>
      <w:r>
        <w:rPr>
          <w:u w:val="single"/>
        </w:rPr>
        <w:t xml:space="preserve"> </w:t>
      </w:r>
      <w:r>
        <w:rPr>
          <w:u w:val="single"/>
        </w:rPr>
        <w:t xml:space="preserve">A nonprofit entity or governmental entity located inside the service area of a municipality or municipally owned utility may contract with that municipality or utility to purchase water and wastewater service capacity or to obtain water and wastewater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or municipally owned utility may recover capital costs from a nonprofit entity or governmental entity related to the purchase of water or wastewater service capacity by that entity or the provision of water or wastewater services to that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nonprofit entity or governmental entity may construct and operate water or wastewater facilities on the entity's property for use by only that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552.202.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RECOVERY OF THIRD-PARTY COSTS.  Another entity may not require a municipality or municipally owned utility to impose a water or wastewater service charge to recover an amount owed to the other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552.203.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RATE DISCRIMINATION.  A municipality or municipally owned utility may not establish a rate applicable only to entities that qualify for a sales tax or ad valorem tax exemption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based solely on the tax-exempt status of the entities;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higher than a rate established for entities that receive comparable utility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4114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