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86R7662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suits filed against a governmental unit and an employee of the governmental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101.106(e),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If a suit is filed </w:t>
      </w:r>
      <w:r>
        <w:rPr>
          <w:u w:val="single"/>
        </w:rPr>
        <w:t xml:space="preserve">asserting a claim for which this chapter waives sovereign or governmental immunity</w:t>
      </w:r>
      <w:r>
        <w:t xml:space="preserve"> [</w:t>
      </w:r>
      <w:r>
        <w:rPr>
          <w:strike/>
        </w:rPr>
        <w:t xml:space="preserve">under this chapter</w:t>
      </w:r>
      <w:r>
        <w:t xml:space="preserve">] against both a governmental unit and any of its employees, the </w:t>
      </w:r>
      <w:r>
        <w:rPr>
          <w:u w:val="single"/>
        </w:rPr>
        <w:t xml:space="preserve">claim against the employee</w:t>
      </w:r>
      <w:r>
        <w:t xml:space="preserve"> [</w:t>
      </w:r>
      <w:r>
        <w:rPr>
          <w:strike/>
        </w:rPr>
        <w:t xml:space="preserve">employees</w:t>
      </w:r>
      <w:r>
        <w:t xml:space="preserve">] shall immediately be dismissed on the filing of a motion by the governmental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101.106(e), Civil Practice and Remedies Code, as amended by this Act, applies only to an action filed on or after the effective date of this Act.  An action that is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