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86R24959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4117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4117: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4117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acquire a right-of-way in accordance with the county's master drainage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561, Local Government Code, is amended by adding Section 561.0075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561.0075.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ACQUIRE RIGHT-OF-WAY REQUIRED BY MASTER DRAINAGE PLAN IN CERTAIN COUNTIES.  (a)  This section applies only to a county with a population of 3.3 million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notice is published in a newspaper of general circulation in the county, the commissioners court of a county may by order acquire a right-of-way on a strip of land that is undeveloped or part of a new site development or redevelopment plan if the acquisition is required by the county's master drainage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4117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