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acquire a right-of-way in accordance with the county's master drainage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561, Local Government Code, is amended by adding Section 561.0075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561.0075.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ACQUIRE RIGHT-OF-WAY REQUIRED BY MASTER DRAINAGE PLAN IN CERTAIN COUNTIES.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county with a population of 3.3 million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notice of a master drainage plan is published in a newspaper of general circulation in the county</w:t>
      </w:r>
      <w:r>
        <w:rPr>
          <w:u w:val="single"/>
        </w:rPr>
        <w:t xml:space="preserve">, or on a county website, the commissioners court of a county may acquire a right-of-way on a strip of land that is undeveloped or part of a new site development or redevelopment plan if the acquisition is required by the county's master drainage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