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86R14093 GRM-F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4120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financial security requirement for providers obligated under certain service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1304.151, Occupations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If the provider ensures its obligations under Subsection (a)(2), the amount maintained in the reserve account may not be less than an amount equal to 40 percent of the gross consideration the provider received from consumers from the sale of all service contracts issued and outstanding in this state, minus any claims paid.  The executive director may review and examine the reserve account.  </w:t>
      </w:r>
      <w:r>
        <w:rPr>
          <w:u w:val="single"/>
        </w:rPr>
        <w:t xml:space="preserve">Except as provided by Subsection (b-1), the</w:t>
      </w:r>
      <w:r>
        <w:t xml:space="preserve"> [</w:t>
      </w:r>
      <w:r>
        <w:rPr>
          <w:strike/>
        </w:rPr>
        <w:t xml:space="preserve">The</w:t>
      </w:r>
      <w:r>
        <w:t xml:space="preserve">] amount of the security deposit may not be less than $250,000.  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 The commission by rule may require the provider to submit additional financial reports.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amount of the security deposit required under Subsection (b) may not be less than $25,000 if the provider: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motor vehicle dealer licensed under Chapter 2301;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to sell service contracts only on motor vehicles sold by the provider.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