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86R14235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4123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an original petition in an action on a sworn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AMENDMENT OF ORIGINAL PETITION IN ACTION ON SWORN ACCOUNT.  (a) </w:t>
      </w:r>
      <w:r>
        <w:rPr>
          <w:u w:val="single"/>
        </w:rPr>
        <w:t xml:space="preserve"> </w:t>
      </w:r>
      <w:r>
        <w:rPr>
          <w:u w:val="single"/>
        </w:rPr>
        <w:t xml:space="preserve">Notwithstanding the Texas Rules of Civil Procedure, a plaintiff is not required to amend an original petition in an action on a sworn account to reflect a payment on the account made after the petition is filed unless the total amount of all payments made after the petition is filed equals or exceeds 50 percent of the amount claimed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original petition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