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86R14159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H.B.</w:t>
      </w:r>
      <w:r xml:space="preserve">
        <w:t> </w:t>
      </w:r>
      <w:r>
        <w:t xml:space="preserve">No.</w:t>
      </w:r>
      <w:r xml:space="preserve">
        <w:t> </w:t>
      </w:r>
      <w:r>
        <w:t xml:space="preserve">4124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report by the Texas Higher Education Coordinating Board on best practices to assist certain students in completing the free application for federal student aid (FAFSA).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61.07763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61.07763.</w:t>
      </w:r>
      <w:r>
        <w:rPr>
          <w:u w:val="single"/>
        </w:rPr>
        <w:t xml:space="preserve"> </w:t>
      </w:r>
      <w:r>
        <w:rPr>
          <w:u w:val="single"/>
        </w:rPr>
        <w:t xml:space="preserve"> </w:t>
      </w:r>
      <w:r>
        <w:rPr>
          <w:u w:val="single"/>
        </w:rPr>
        <w:t xml:space="preserve">STUDY AND REPORT ON FREE APPLICATION FOR FEDERAL STUDENT AID (FAFSA) COMPLETION BEST PRACTICES. </w:t>
      </w:r>
      <w:r>
        <w:rPr>
          <w:u w:val="single"/>
        </w:rPr>
        <w:t xml:space="preserve"> </w:t>
      </w:r>
      <w:r>
        <w:rPr>
          <w:u w:val="single"/>
        </w:rPr>
        <w:t xml:space="preserve">(a) </w:t>
      </w:r>
      <w:r>
        <w:rPr>
          <w:u w:val="single"/>
        </w:rPr>
        <w:t xml:space="preserve"> </w:t>
      </w:r>
      <w:r>
        <w:rPr>
          <w:u w:val="single"/>
        </w:rPr>
        <w:t xml:space="preserve">The board shall conduct a study to determine best practices to provide assistance in completing and submitting the free application for federal student aid (FAFSA) to an applicant who is a dependent of a person who lacks the documentation necessary to complete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study must identify best practices to address the lack of access to the following information required to complete the FAFSA: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income tax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social security number issued by the Social Security Administration;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identification document, including a driver's license, government-issued identification, United States passport, Certificate of United States Citizenship, Certificate of Naturalization, Permanent Resident Card or Alien Registration Receipt Card, Temporary Resident Card, Refugee Travel Document, or Employment Authorization Document;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alien registration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conducting the study, the board shall collaborate with general academic teaching institutions, public junior colleges, public technical institutes, public state colleges, private or independent institutions of higher education, and rural and urban career schools or colleges, as defined by Section 132.001.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necessary, the board may consult with and consider recommendations from federal agencies in conducting the study.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recommendations resulting from the study may not include any recommendation to deceive, mislead, or undermine the United States Department of Education.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November 1, 2020, the board shall submit to the governor, the lieutenant governor, the speaker of the house of representatives, and the commissioner of education a written report on the study's results and any recommendations for legislative or other action.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written copy of the report submitted under Subsection (f) to each school district or open-enrollment charter school high school counselor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the report on the board's Internet website.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