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86R13617 NC-D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4125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tenant legal services offices by counties to represent indigent residential tenants in eviction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B, Title 5, Local Government Code, is amended by adding Chapter 162 to read as follows:</w:t>
      </w:r>
    </w:p>
    <w:p w:rsidR="003F3435" w:rsidRDefault="0032493E">
      <w:pPr>
        <w:spacing w:line="480" w:lineRule="auto"/>
        <w:jc w:val="center"/>
      </w:pPr>
      <w:r>
        <w:rPr>
          <w:u w:val="single"/>
        </w:rPr>
        <w:t xml:space="preserve">CHAPTER 162. TENANT LEGAL SERVICES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"Indigent" means an individual who earns not more than 125 percent of the income standard established by applicable federal poverty guidelines.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a tenant legal services office established under Section 162.002.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162.002.</w:t>
      </w:r>
      <w:r>
        <w:rPr>
          <w:u w:val="single"/>
        </w:rPr>
        <w:t xml:space="preserve"> </w:t>
      </w:r>
      <w:r>
        <w:rPr>
          <w:u w:val="single"/>
        </w:rPr>
        <w:t xml:space="preserve"> </w:t>
      </w:r>
      <w:r>
        <w:rPr>
          <w:u w:val="single"/>
        </w:rPr>
        <w:t xml:space="preserve">TENANT LEGAL SERVICES OFFICE.  (a) </w:t>
      </w:r>
      <w:r>
        <w:rPr>
          <w:u w:val="single"/>
        </w:rPr>
        <w:t xml:space="preserve"> </w:t>
      </w:r>
      <w:r>
        <w:rPr>
          <w:u w:val="single"/>
        </w:rPr>
        <w:t xml:space="preserve">The commissioners court of a county shall create a tenant legal services office to provide legal representation and services to indigent residential tenants in eviction cases.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may establish a department of the county or by contract may designate a nonprofit corporation to serve as the tenant legal services office for the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commissioners court by order shall establish the rules and procedures necessary to implement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162.003.</w:t>
      </w:r>
      <w:r>
        <w:rPr>
          <w:u w:val="single"/>
        </w:rPr>
        <w:t xml:space="preserve"> </w:t>
      </w:r>
      <w:r>
        <w:rPr>
          <w:u w:val="single"/>
        </w:rPr>
        <w:t xml:space="preserve"> </w:t>
      </w:r>
      <w:r>
        <w:rPr>
          <w:u w:val="single"/>
        </w:rPr>
        <w:t xml:space="preserve">PROPOSALS BY NONPROFIT CORPORATIONS.  (a) </w:t>
      </w:r>
      <w:r>
        <w:rPr>
          <w:u w:val="single"/>
        </w:rPr>
        <w:t xml:space="preserve"> </w:t>
      </w:r>
      <w:r>
        <w:rPr>
          <w:u w:val="single"/>
        </w:rPr>
        <w:t xml:space="preserve">Before contracting with a nonprofit corporation to serve as a tenant legal services office, the commissioners court shall solicit proposals for the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shall require a written plan from a nonprofit corporation proposing to serve as a tenant legal services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written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budget for the office, including salaries;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each personnel position, including the director of legal services position;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maximum allowable caseload for each attorney employed by the office;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provisions for personnel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description of anticipated overhead costs for the office;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policy to ensure that the director of legal services and other attorneys employed by the office do not provide representation to a tenant if doing so would create a conflict of interest that has not been waived by the client.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considering each proposal for the office submitted by a nonprofit corporation, the commissioners court shall select a proposal that reasonably demonstrates that the office will provide adequate quality representation for indigent tenants in the county.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total cost of the proposal may not be the sole consideration in selecting a proposal.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162.004.</w:t>
      </w:r>
      <w:r>
        <w:rPr>
          <w:u w:val="single"/>
        </w:rPr>
        <w:t xml:space="preserve"> </w:t>
      </w:r>
      <w:r>
        <w:rPr>
          <w:u w:val="single"/>
        </w:rPr>
        <w:t xml:space="preserve"> </w:t>
      </w:r>
      <w:r>
        <w:rPr>
          <w:u w:val="single"/>
        </w:rPr>
        <w:t xml:space="preserve">DIRECTOR OF LEGAL SERVICES. </w:t>
      </w:r>
      <w:r>
        <w:rPr>
          <w:u w:val="single"/>
        </w:rPr>
        <w:t xml:space="preserve"> </w:t>
      </w:r>
      <w:r>
        <w:rPr>
          <w:u w:val="single"/>
        </w:rPr>
        <w:t xml:space="preserve">A tenant legal services office must be directed by a director of legal services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member of the State Bar of Texas;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practiced law for at least three years;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substantial experience in the practice of landlord-tenant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162.005.</w:t>
      </w:r>
      <w:r>
        <w:rPr>
          <w:u w:val="single"/>
        </w:rPr>
        <w:t xml:space="preserve"> </w:t>
      </w:r>
      <w:r>
        <w:rPr>
          <w:u w:val="single"/>
        </w:rPr>
        <w:t xml:space="preserve"> </w:t>
      </w:r>
      <w:r>
        <w:rPr>
          <w:u w:val="single"/>
        </w:rPr>
        <w:t xml:space="preserve">FUNDING.</w:t>
      </w:r>
      <w:r>
        <w:rPr>
          <w:u w:val="single"/>
        </w:rPr>
        <w:t xml:space="preserve"> </w:t>
      </w:r>
      <w:r>
        <w:rPr>
          <w:u w:val="single"/>
        </w:rPr>
        <w:t xml:space="preserve"> </w:t>
      </w:r>
      <w:r>
        <w:rPr>
          <w:u w:val="single"/>
        </w:rPr>
        <w:t xml:space="preserve">A tenant legal services office is entitled to receive funds for personnel costs and expenses incurred in operating the office in amounts determined by the commissioners court and paid out of the appropriate county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162.006.</w:t>
      </w:r>
      <w:r>
        <w:rPr>
          <w:u w:val="single"/>
        </w:rPr>
        <w:t xml:space="preserve"> </w:t>
      </w:r>
      <w:r>
        <w:rPr>
          <w:u w:val="single"/>
        </w:rPr>
        <w:t xml:space="preserve"> </w:t>
      </w:r>
      <w:r>
        <w:rPr>
          <w:u w:val="single"/>
        </w:rPr>
        <w:t xml:space="preserve">EMPLOYEES.</w:t>
      </w:r>
      <w:r>
        <w:rPr>
          <w:u w:val="single"/>
        </w:rPr>
        <w:t xml:space="preserve"> </w:t>
      </w:r>
      <w:r>
        <w:rPr>
          <w:u w:val="single"/>
        </w:rPr>
        <w:t xml:space="preserve"> </w:t>
      </w:r>
      <w:r>
        <w:rPr>
          <w:u w:val="single"/>
        </w:rPr>
        <w:t xml:space="preserve">A tenant legal services office may employ attorneys and other personnel necessary to perform the duties of the office as specified by the commissioners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162.007.</w:t>
      </w:r>
      <w:r>
        <w:rPr>
          <w:u w:val="single"/>
        </w:rPr>
        <w:t xml:space="preserve"> </w:t>
      </w:r>
      <w:r>
        <w:rPr>
          <w:u w:val="single"/>
        </w:rPr>
        <w:t xml:space="preserve"> </w:t>
      </w:r>
      <w:r>
        <w:rPr>
          <w:u w:val="single"/>
        </w:rPr>
        <w:t xml:space="preserve">DENIAL OF REPRESENTATION.</w:t>
      </w:r>
      <w:r>
        <w:rPr>
          <w:u w:val="single"/>
        </w:rPr>
        <w:t xml:space="preserve"> </w:t>
      </w:r>
      <w:r>
        <w:rPr>
          <w:u w:val="single"/>
        </w:rPr>
        <w:t xml:space="preserve"> </w:t>
      </w:r>
      <w:r>
        <w:rPr>
          <w:u w:val="single"/>
        </w:rPr>
        <w:t xml:space="preserve">A tenant legal services office may not represent a tenant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conflict of interest exists that has not been waived by the client;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has insufficient resources to provide adequate representation for the tenant;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is incapable of providing representation for the tenant in accordance with the rules of professional conduct;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office shows other good cause for not accepting the request for representation by a tenant.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162.008.</w:t>
      </w:r>
      <w:r>
        <w:rPr>
          <w:u w:val="single"/>
        </w:rPr>
        <w:t xml:space="preserve"> </w:t>
      </w:r>
      <w:r>
        <w:rPr>
          <w:u w:val="single"/>
        </w:rPr>
        <w:t xml:space="preserve"> </w:t>
      </w:r>
      <w:r>
        <w:rPr>
          <w:u w:val="single"/>
        </w:rPr>
        <w:t xml:space="preserve">INVESTIGATION OF FINANCIAL CONDITION.</w:t>
      </w:r>
      <w:r>
        <w:rPr>
          <w:u w:val="single"/>
        </w:rPr>
        <w:t xml:space="preserve"> </w:t>
      </w:r>
      <w:r>
        <w:rPr>
          <w:u w:val="single"/>
        </w:rPr>
        <w:t xml:space="preserve"> </w:t>
      </w:r>
      <w:r>
        <w:rPr>
          <w:u w:val="single"/>
        </w:rPr>
        <w:t xml:space="preserve">A tenant legal services office may investigate the financial condition of a tenant who requests representation by the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