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Morrison, Cortez, Klick, Israel</w:t>
      </w:r>
      <w:r xml:space="preserve">
        <w:tab wTab="150" tlc="none" cTlc="0"/>
      </w:r>
      <w:r>
        <w:t xml:space="preserve">H.B.</w:t>
      </w:r>
      <w:r xml:space="preserve">
        <w:t> </w:t>
      </w:r>
      <w:r>
        <w:t xml:space="preserve">No.</w:t>
      </w:r>
      <w:r xml:space="preserve">
        <w:t> </w:t>
      </w:r>
      <w:r>
        <w:t xml:space="preserve">4130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use of an electronic device for accepting voters;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CERTIFICATION OF ELECTRONIC DEVICES TO ACCEPT VOTERS.  (a)  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display the voter's original signature in accordance with Section 63.002;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a voter for voting even when the device is off-line;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time-stamp when each voter is accepted at a polling place, including the voter's unique identifier;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county participates in the countywide polling place program under Section 43.007 or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time-stamp the receipt of a transmission under Subdivision (6);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produce in an electronic format compatible with the statewide voter registration list under Section 18.061 data for retention and transfer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polling location in which the device was used;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dated time stamp under Subdivision (5);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w:t>
      </w:r>
      <w:r>
        <w:rPr>
          <w:u w:val="single"/>
        </w:rPr>
        <w:t xml:space="preserve">dated time stamp under Subdivision (7).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device described by this section must be certified annually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that require a device described by this section used during the early voting period or under the countywide polling place program under Section 43.007 to update data in real time.  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poll list may be in the form of an electronic device approved by the secretary of state.  The secretary of state shall adopt rules governing the use of electronic poll lists.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63.004,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combination form may be in the form of an electronic device approved by the secretary of state.  The secretary of state shall adopt rules governing the minimum requirements and approval of an electronic device used for any form used in connection with the acceptance of voters at a polling place.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