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86R14114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4131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public schools from owning or having a business interest in certain entities and real property associated with those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45, Education Code, is amended by adding Section 45.116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45.116.</w:t>
      </w:r>
      <w:r>
        <w:rPr>
          <w:u w:val="single"/>
        </w:rPr>
        <w:t xml:space="preserve"> </w:t>
      </w:r>
      <w:r>
        <w:rPr>
          <w:u w:val="single"/>
        </w:rPr>
        <w:t xml:space="preserve"> </w:t>
      </w:r>
      <w:r>
        <w:rPr>
          <w:u w:val="single"/>
        </w:rPr>
        <w:t xml:space="preserve">OWNERSHIP OF OR BUSINESS INTEREST IN CERTAIN ENTITIES AND PROPERTY PROHIBITED.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has the meaning assigned by Section 1.002, Business Organizations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"Business interest" means owning or controlling, directly or indirectly, more than a 10 percent interest in a business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not, directly or indirectly through an affiliate, including an affiliated nonprofit corporation, have a business interest in an entity or own real property associated with an entity described by the North American Industry Classification System (NAICS) in any of the following sector codes: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Sector 53: Real Estate and Rental and Leasing;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Sector 71: Arts, Entertainment, and Recreation;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Sector 72: Accommodation and Food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ownership or business interest in an entity or real property acquired by a school district or open-enrollment charter school before, on, or after the effective date of this Act. A school district or open-enrollment charter school subject to Section 45.116, Education Code, as added by this Act, shall divest all ownership of, or business interest in, an entity or real property associated with an entity described by that section not later than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