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86R13166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4134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parents and caretaker relatives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32.024(l), Human Resources Code, is amended to read as follows:</w:t>
      </w:r>
    </w:p>
    <w:p w:rsidR="003F3435" w:rsidRDefault="0032493E">
      <w:pPr>
        <w:spacing w:line="480" w:lineRule="auto"/>
        <w:ind w:firstLine="720"/>
        <w:jc w:val="both"/>
      </w:pPr>
      <w:r>
        <w:t xml:space="preserve">(l)</w:t>
      </w:r>
      <w:r xml:space="preserve">
        <w:t> </w:t>
      </w:r>
      <w:r xml:space="preserve">
        <w:t> </w:t>
      </w:r>
      <w:r>
        <w:t xml:space="preserve">The executive commissioner shall set the income eligibility cap for medical assistance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pregnant women and infants up to age one at not less than 130 percent of the federal poverty guidelines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parents and eligible caretaker relatives at not less than 100 percent of the federal poverty guidelines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