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86R14056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4141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of certain child-care facilities that detain certain children.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42, Human Resources Code, is amended by adding Section 42.0539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42.0539.</w:t>
      </w:r>
      <w:r>
        <w:rPr>
          <w:u w:val="single"/>
        </w:rPr>
        <w:t xml:space="preserve"> </w:t>
      </w:r>
      <w:r>
        <w:rPr>
          <w:u w:val="single"/>
        </w:rPr>
        <w:t xml:space="preserve"> </w:t>
      </w:r>
      <w:r>
        <w:rPr>
          <w:u w:val="single"/>
        </w:rPr>
        <w:t xml:space="preserve">RESIDENTIAL DETENTION FACILITIES.  Notwithstanding any other law,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license each child-care facility, that is operated by or under a contract with United States Immigration and Customs Enforcement or the United States Department of Health and Human Services to enforce federal immigration laws and that detains unaccompanied children, in the same manner as the commission licenses a residential child-care facility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facility to comply with the same requirements, including minimum standards, applicable to a residential child-care facility.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child-care facility subject to Section 42.0539, Human Resources Code, as added by this Act, must obtain the required license not later than December 1, 2019.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