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4145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prescription of a controlled substance to certain patients for the treatment of pain.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481, Health and Safety</w:t>
      </w:r>
      <w:r>
        <w:t xml:space="preserve"> </w:t>
      </w:r>
      <w:r>
        <w:t xml:space="preserve">Code, is amended by adding Section 481.0725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481.0725. </w:t>
      </w:r>
      <w:r>
        <w:rPr>
          <w:u w:val="single"/>
        </w:rPr>
        <w:t xml:space="preserve"> </w:t>
      </w:r>
      <w:r>
        <w:rPr>
          <w:u w:val="single"/>
        </w:rPr>
        <w:t xml:space="preserve">PRESCRIPTION OF CONTROLLED SUBSTANCE AFTER DRUG TEST.  A practitioner may not refuse to prescribe a controlled substance for the treatment of pain to a patient solely because the results of a drug test taken by the patient indicated that tetrahydrocannabinol or cannabidiol was present in the patient's body, or refuse to continue to treat the patient.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prescription issued on or after the effective date of this Act. </w:t>
      </w:r>
      <w:r>
        <w:t xml:space="preserve"> </w:t>
      </w:r>
      <w:r>
        <w:t xml:space="preserve">A prescription issued before the effective date of this Act is governed by the law in effect on the date the prescription is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