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regulation of outdoor lighting;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229,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t xml:space="preserve"> </w:t>
      </w:r>
      <w:r>
        <w:t xml:space="preserve">REGULATION OF OUTDOOR LIGHTING </w:t>
      </w:r>
      <w:r>
        <w:rPr>
          <w:u w:val="single"/>
        </w:rPr>
        <w:t xml:space="preserve">NEAR MAJOR ASTRONOMICAL OBSERVATORY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229, Local Government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</w:t>
      </w:r>
      <w:r>
        <w:rPr>
          <w:u w:val="single"/>
        </w:rPr>
        <w:t xml:space="preserve"> </w:t>
      </w:r>
      <w:r>
        <w:rPr>
          <w:u w:val="single"/>
        </w:rPr>
        <w:t xml:space="preserve">GENERAL REGULATION OF OUTDOOR LIGHTING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</w:t>
      </w:r>
      <w:r>
        <w:rPr>
          <w:u w:val="single"/>
        </w:rPr>
        <w:t xml:space="preserve"> </w:t>
      </w:r>
      <w:r>
        <w:rPr>
          <w:u w:val="single"/>
        </w:rPr>
        <w:t xml:space="preserve">In this subchapter, "outdoor lighting" has the meaning assigned by Section 240.031.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OUTDOOR LIGHTING.  (a) </w:t>
      </w:r>
      <w:r>
        <w:rPr>
          <w:u w:val="single"/>
        </w:rPr>
        <w:t xml:space="preserve"> </w:t>
      </w:r>
      <w:r>
        <w:rPr>
          <w:u w:val="single"/>
        </w:rPr>
        <w:t xml:space="preserve">The governing body of a municipality that has applied for or received International Dark Sky Community designation by ordinance may regulate the installation and use of outdoor lighting in the municipality and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only regulate outdoor lighting constructed or renovated on or after the effective date of an ordinance adopted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ENFORCEMENT; CRIMINAL PENALTY.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municipality may sue in any court to enjoin a violation of an ordinance adopted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violates an ordinance adopted under this subchapter commits an offense. An offense under this subsection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