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4152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hotel occupancy tax by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352.002, Tax Code, is amended by adding Subsections (v) and (w) to read as follows: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The commissioners court of a county with a population of not more than 25,000 that borders a county in which the State Capitol is located may impose a tax as provided by Subsection (a).</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The commissioners court of a county that has a population of more than 53,000 and less than 78,000 that is adjacent to a county with a population of more than 200,000 and less than 230,000 may impose a tax as provided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352.003(n), Tax Code, is amended to read as follows:</w:t>
      </w:r>
    </w:p>
    <w:p w:rsidR="003F3435" w:rsidRDefault="0032493E">
      <w:pPr>
        <w:spacing w:line="480" w:lineRule="auto"/>
        <w:ind w:firstLine="720"/>
        <w:jc w:val="both"/>
      </w:pPr>
      <w:r>
        <w:t xml:space="preserve">(n)</w:t>
      </w:r>
      <w:r xml:space="preserve">
        <w:t> </w:t>
      </w:r>
      <w:r xml:space="preserve">
        <w:t> </w:t>
      </w:r>
      <w:r>
        <w:t xml:space="preserve">The tax rate in a county authorized to impose the tax under Section 352.002(o) </w:t>
      </w:r>
      <w:r>
        <w:rPr>
          <w:u w:val="single"/>
        </w:rPr>
        <w:t xml:space="preserve">or (w)</w:t>
      </w:r>
      <w:r>
        <w:t xml:space="preserve"> may not exceed two percent of the price paid for a room in a hotel.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352, Tax Code, is amended by adding Section 352.112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352.112.</w:t>
      </w:r>
      <w:r>
        <w:rPr>
          <w:u w:val="single"/>
        </w:rPr>
        <w:t xml:space="preserve"> </w:t>
      </w:r>
      <w:r>
        <w:rPr>
          <w:u w:val="single"/>
        </w:rPr>
        <w:t xml:space="preserve"> </w:t>
      </w:r>
      <w:r>
        <w:rPr>
          <w:u w:val="single"/>
        </w:rPr>
        <w:t xml:space="preserve">USE OF REVENUE: CERTAIN COUNTIES BORDERING CERTAIN POPULOUS COUNTIES.  The revenue from a tax imposed under this chapter by a county authorized to impose the tax under Section 352.002(w) may be used only to operate and maintain an exposition center in the county that has a substantial impact on tourism and hotel activity.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352, Tax Code, is amended by adding S</w:t>
      </w:r>
      <w:r>
        <w:t xml:space="preserve">ection 352.114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352.114.</w:t>
      </w:r>
      <w:r>
        <w:rPr>
          <w:u w:val="single"/>
        </w:rPr>
        <w:t xml:space="preserve"> </w:t>
      </w:r>
      <w:r>
        <w:rPr>
          <w:u w:val="single"/>
        </w:rPr>
        <w:t xml:space="preserve"> </w:t>
      </w:r>
      <w:r>
        <w:rPr>
          <w:u w:val="single"/>
        </w:rPr>
        <w:t xml:space="preserve">USE OF REVENUE; CERTAIN COUNTIES THAT BORDER MEXICO AND CONTAIN A NATIONAL PARK. </w:t>
      </w:r>
      <w:r>
        <w:rPr>
          <w:u w:val="single"/>
        </w:rPr>
        <w:t xml:space="preserve"> </w:t>
      </w:r>
      <w:r>
        <w:rPr>
          <w:u w:val="single"/>
        </w:rPr>
        <w:t xml:space="preserve">(a) </w:t>
      </w:r>
      <w:r>
        <w:rPr>
          <w:u w:val="single"/>
        </w:rPr>
        <w:t xml:space="preserve"> </w:t>
      </w:r>
      <w:r>
        <w:rPr>
          <w:u w:val="single"/>
        </w:rPr>
        <w:t xml:space="preserve">Other provisions of this chapter notwithstanding, if a national park with more than 400,000 acres located within a county described by Subsection 352.002(a)(14) closes or if the national park's essential visitor operations are significantly curtailed for more than three consecutive days due to a lack of federal appropriation of funding or due to an emergency, the county may use hotel occupancy tax revenues as follows during the closure of the national park: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for the supplemental collection of waste and sanitation, and to protect the health, safety, and welfare of park visitors;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provide supplemental guidance and interpretive services for park visitors.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may not continue to expend revenue for purposes authorized by this section if the national park is closed more than 60 days in that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may enter into an agreement with a federal agency to facilitate the use of hotel tax revenue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may not use hotel tax revenue under this section in an amount that exceeds annual area hotel revenue attributable to visitors to the national park.</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