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86R18277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4152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hotel occupancy tax be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352, Tax Code, is amended by adding section 352.114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352.114.</w:t>
      </w:r>
      <w:r>
        <w:rPr>
          <w:u w:val="single"/>
        </w:rPr>
        <w:t xml:space="preserve"> </w:t>
      </w:r>
      <w:r>
        <w:rPr>
          <w:u w:val="single"/>
        </w:rPr>
        <w:t xml:space="preserve"> </w:t>
      </w:r>
      <w:r>
        <w:rPr>
          <w:u w:val="single"/>
        </w:rPr>
        <w:t xml:space="preserve">USE OF REVENUE; CERTAIN COUNTIES THAT BORDER MEXICO AND CONTAIN A NATIONAL PARK.</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Other provisions of this Chapter notwithstanding, if a National Park with more than 400,000 acres located within a County described by subsection 352.002(a)(14) closes or if the National Park's essential visitor operations are significantly curtailed for more than three consecutive days due to a lack of federal appropriation of funding or due to an emergency, the County may use hotel occupancy tax revenues as follows during the closure of the National Park: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for the supplemental collection of waste, sanitation, and to protect the health, safety, and welfare of Park visitors;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provide supplemental guidance and interpretive services for Park visitors.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may not continue to expend revenue for purposes authorized by this section if the National Park is closed more than 60 days in that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may enter into an agreement with a federal agency to facilitate use of hotel tax revenue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may not  use hotel tax revenue under this Section in an amount that exceeds annual area hotel revenue attributable to visitors to the National Park.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