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351.10692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351.10692.</w:t>
      </w:r>
      <w:r>
        <w:rPr>
          <w:u w:val="single"/>
        </w:rPr>
        <w:t xml:space="preserve"> </w:t>
      </w:r>
      <w:r>
        <w:rPr>
          <w:u w:val="single"/>
        </w:rPr>
        <w:t xml:space="preserve"> </w:t>
      </w:r>
      <w:r>
        <w:rPr>
          <w:u w:val="single"/>
        </w:rPr>
        <w:t xml:space="preserve">ALLOCATION OF REVENUE: CERTAIN MUNICIPALITIES.  (a) </w:t>
      </w:r>
      <w:r>
        <w:rPr>
          <w:u w:val="single"/>
        </w:rPr>
        <w:t xml:space="preserve"> </w:t>
      </w:r>
      <w:r>
        <w:rPr>
          <w:u w:val="single"/>
        </w:rPr>
        <w:t xml:space="preserve">This section applies only to a municipality that has applied for or received International Dark Sky Community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 municipality to which this section applies may use revenue from the municipal hotel occupancy tax for the promotion and preservation of dark skies through construction and maintenance of infrastructure that reduces light pollution and sky glow.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