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 Biedermann</w:t>
      </w:r>
      <w:r>
        <w:t xml:space="preserve"> </w:t>
      </w:r>
      <w:r xml:space="preserve">
        <w:tab wTab="150" tlc="none" cTlc="0"/>
      </w:r>
      <w:r>
        <w:t xml:space="preserve">H.B.</w:t>
      </w:r>
      <w:r xml:space="preserve">
        <w:t> </w:t>
      </w:r>
      <w:r>
        <w:t xml:space="preserve">No.</w:t>
      </w:r>
      <w:r xml:space="preserve">
        <w:t> </w:t>
      </w:r>
      <w:r>
        <w:t xml:space="preserve">4158</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13,</w:t>
      </w:r>
      <w:r xml:space="preserve">
        <w:t> </w:t>
      </w:r>
      <w:r>
        <w:t xml:space="preserve">2019; May</w:t>
      </w:r>
      <w:r xml:space="preserve">
        <w:t> </w:t>
      </w:r>
      <w:r>
        <w:t xml:space="preserve">14,</w:t>
      </w:r>
      <w:r xml:space="preserve">
        <w:t> </w:t>
      </w:r>
      <w:r>
        <w:t xml:space="preserve">2019, read first time and referred to Committee on Natural Resources &amp; Economic Development; May</w:t>
      </w:r>
      <w:r xml:space="preserve">
        <w:t> </w:t>
      </w:r>
      <w:r>
        <w:t xml:space="preserve">17,</w:t>
      </w:r>
      <w:r xml:space="preserve">
        <w:t> </w:t>
      </w:r>
      <w:r>
        <w:t xml:space="preserve">2019, reported favorably by the following vote:</w:t>
      </w:r>
      <w:r>
        <w:t xml:space="preserve"> </w:t>
      </w:r>
      <w:r>
        <w:t xml:space="preserve"> </w:t>
      </w:r>
      <w:r>
        <w:t xml:space="preserve">Yeas</w:t>
      </w:r>
      <w:r xml:space="preserve">
        <w:t> </w:t>
      </w:r>
      <w:r>
        <w:t xml:space="preserve">11, Nays</w:t>
      </w:r>
      <w:r xml:space="preserve">
        <w:t> </w:t>
      </w:r>
      <w:r>
        <w:t xml:space="preserve">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municipal hotel occupancy tax revenue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351.10692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351.10692.</w:t>
      </w:r>
      <w:r>
        <w:rPr>
          <w:u w:val="single"/>
        </w:rPr>
        <w:t xml:space="preserve"> </w:t>
      </w:r>
      <w:r>
        <w:rPr>
          <w:u w:val="single"/>
        </w:rPr>
        <w:t xml:space="preserve"> </w:t>
      </w:r>
      <w:r>
        <w:rPr>
          <w:u w:val="single"/>
        </w:rPr>
        <w:t xml:space="preserve">ALLOCATION OF REVENUE: CERTAIN MUNICIPALITIES. </w:t>
      </w:r>
      <w:r>
        <w:rPr>
          <w:u w:val="single"/>
        </w:rPr>
        <w:t xml:space="preserve"> </w:t>
      </w:r>
      <w:r>
        <w:rPr>
          <w:u w:val="single"/>
        </w:rPr>
        <w:t xml:space="preserve">(a) </w:t>
      </w:r>
      <w:r>
        <w:rPr>
          <w:u w:val="single"/>
        </w:rPr>
        <w:t xml:space="preserve"> </w:t>
      </w:r>
      <w:r>
        <w:rPr>
          <w:u w:val="single"/>
        </w:rPr>
        <w:t xml:space="preserve">This section applies only to a municipality with a population of less than 2,000 located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adjacent to the county in which the State Capitol is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more than 25,000;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100,000 but not more than 200,000.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 municipality to which this section applies may use revenue from the municipal hotel occupancy tax for the promotion and preservation of dark skies through construction and maintenance of infrastructure and the purchase and installation of hardware that reduces light pollution and sky glow.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that uses revenue from the municipal hotel occupancy tax for a purpose described by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determine the amount of area hotel revenue attributable to dark skies related events and activities for five years after the date the municipality first uses hotel occupancy tax revenue for a purpose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spend municipal hotel occupancy tax revenue for the purposes described by Subsection (b) in a total amount that exceeds the amount determined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spend more than 25 percent of the municipality's annual hotel occupancy tax revenue for a purpose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