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86R14092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 Government Code, is amended by amending Subsections (b) and (f) and adding Subsections (b-1), (g), and (h)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rPr>
          <w:u w:val="single"/>
        </w:rP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2160"/>
        <w:jc w:val="both"/>
      </w:pPr>
      <w:r>
        <w:rPr>
          <w:u w:val="single"/>
        </w:rPr>
        <w:t xml:space="preserve">(G)</w:t>
      </w:r>
      <w:r xml:space="preserve">
        <w:t> </w:t>
      </w:r>
      <w:r xml:space="preserve">
        <w:t> </w:t>
      </w:r>
      <w:r>
        <w:t xml:space="preserve">the cost of the development by square foot;</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services to be provided to tenants of the development</w:t>
      </w:r>
      <w:r>
        <w:rPr>
          <w:u w:val="single"/>
        </w:rPr>
        <w:t xml:space="preserve">, including quality social services</w:t>
      </w:r>
      <w:r>
        <w:t xml:space="preserve">;</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whether, at the time the complete application is submitted or at any time within the two-year period preceding the date of submission, the proposed development site is located in an area declared to be a disaster under Section 418.014;</w:t>
      </w:r>
      <w:r>
        <w:t xml:space="preserve">]</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rPr>
          <w:u w:val="single"/>
        </w:rPr>
        <w:t xml:space="preserve">demonstrated community and neighborhood support other than that described by Paragraphs (B), (F), and (I);</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whether the proposed project is consistent with sound underwriting practices and when economically feasible, serves individuals and families of extremely low income by leveraging private and state and federal resources, including federal HOPE VI grants received through the United States Department of Housing and Urban Development;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whether the proposed project serves traditionally underserved populations;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demonstrated support from local political subdivisions based on the subdivisions' commitment of development funding;</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whether the proposed project rehabilitates or performs an adaptive reuse of a certified historic structure, as defined by Section 171.901(1), Tax Code, as part of the development;</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whether the proposed project remains affordable to qualified tenants for an extended, economically feasible period; and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whether the proposed project complies with the accessibility standards that are required under Section 504, Rehabilitation Act of 1973 (29 U.S.C. Section 794), and specified under 24 C.F.R. Part 8, Subpart C</w:t>
      </w:r>
      <w:r>
        <w:t xml:space="preserve"> [</w:t>
      </w:r>
      <w:r>
        <w:rPr>
          <w:strike/>
        </w:rPr>
        <w:t xml:space="preserve">the level of community support for the application, evaluated on the basis of a written statement from the state representative who represents the district containing the proposed development site</w:t>
      </w:r>
      <w:r>
        <w:t xml:space="preserv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appropriate incentives to reward applicants who 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 the development that is the basis of the application with energy saving devices that meet the standards established by the state energy conservation office or provide to a qualified entity, in a land use restriction agreement in accordance with Section 2306.6726, a right of first refusal to purchase the development at the minimum price provided in, and in accordance with the requirements of, Section 42(i)(7), Internal Revenue Code of 1986 (26 U.S.C. Section 42(i)(7));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 the development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census tract in which there are no other existing developments supported by housing tax credits;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area that will serve residents of the development without displacing established communities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each scoring criterion, the department shall use a range of points to evaluate the degree to which a proposed project satisfies the criterion.</w:t>
      </w:r>
      <w:r>
        <w:rPr>
          <w:u w:val="single"/>
        </w:rPr>
        <w:t xml:space="preserve"> </w:t>
      </w:r>
      <w:r>
        <w:rPr>
          <w:u w:val="single"/>
        </w:rPr>
        <w:t xml:space="preserve"> </w:t>
      </w:r>
      <w:r>
        <w:rPr>
          <w:u w:val="single"/>
        </w:rPr>
        <w:t xml:space="preserve">The department may not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number of points for a scoring criterion that is disproportionate to the degree to which a proposed project complies with that criterion;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proposed project for the general population a number of points for a scoring criterion that is different than the number of points awarded for that criterion to a proposed project reserved for elderly persons if the proposed project complies with the criterion to the same degree.</w:t>
      </w:r>
    </w:p>
    <w:p w:rsidR="003F3435" w:rsidRDefault="0032493E">
      <w:pPr>
        <w:spacing w:line="480" w:lineRule="auto"/>
        <w:ind w:firstLine="720"/>
        <w:jc w:val="both"/>
      </w:pPr>
      <w:r>
        <w:t xml:space="preserve">(f)</w:t>
      </w:r>
      <w:r xml:space="preserve">
        <w:t> </w:t>
      </w:r>
      <w:r xml:space="preserve">
        <w:t> </w:t>
      </w:r>
      <w:r>
        <w:t xml:space="preserve">In evaluating the level of community support for an application under Subsection </w:t>
      </w:r>
      <w:r>
        <w:rPr>
          <w:u w:val="single"/>
        </w:rPr>
        <w:t xml:space="preserve">(b)(1)(F)</w:t>
      </w:r>
      <w:r>
        <w:t xml:space="preserve"> [</w:t>
      </w:r>
      <w:r>
        <w:rPr>
          <w:strike/>
        </w:rPr>
        <w:t xml:space="preserve">(b)(1)(J)</w:t>
      </w:r>
      <w:r>
        <w:t xml:space="preserve">], the department shall award:</w:t>
      </w:r>
    </w:p>
    <w:p w:rsidR="003F3435" w:rsidRDefault="0032493E">
      <w:pPr>
        <w:spacing w:line="480" w:lineRule="auto"/>
        <w:ind w:firstLine="1440"/>
        <w:jc w:val="both"/>
      </w:pPr>
      <w:r>
        <w:t xml:space="preserve">(1)</w:t>
      </w:r>
      <w:r xml:space="preserve">
        <w:t> </w:t>
      </w:r>
      <w:r xml:space="preserve">
        <w:t> </w:t>
      </w:r>
      <w:r>
        <w:t xml:space="preserve">positive points for positive written statements received;</w:t>
      </w:r>
    </w:p>
    <w:p w:rsidR="003F3435" w:rsidRDefault="0032493E">
      <w:pPr>
        <w:spacing w:line="480" w:lineRule="auto"/>
        <w:ind w:firstLine="1440"/>
        <w:jc w:val="both"/>
      </w:pPr>
      <w:r>
        <w:t xml:space="preserve">(2)</w:t>
      </w:r>
      <w:r xml:space="preserve">
        <w:t> </w:t>
      </w:r>
      <w:r xml:space="preserve">
        <w:t> </w:t>
      </w:r>
      <w:r>
        <w:t xml:space="preserve">negative points for negative written statements received; and</w:t>
      </w:r>
    </w:p>
    <w:p w:rsidR="003F3435" w:rsidRDefault="0032493E">
      <w:pPr>
        <w:spacing w:line="480" w:lineRule="auto"/>
        <w:ind w:firstLine="1440"/>
        <w:jc w:val="both"/>
      </w:pPr>
      <w:r>
        <w:t xml:space="preserve">(3)</w:t>
      </w:r>
      <w:r xml:space="preserve">
        <w:t> </w:t>
      </w:r>
      <w:r xml:space="preserve">
        <w:t> </w:t>
      </w:r>
      <w:r>
        <w:t xml:space="preserve">zero points for neutral </w:t>
      </w:r>
      <w:r>
        <w:rPr>
          <w:u w:val="single"/>
        </w:rPr>
        <w:t xml:space="preserve">written</w:t>
      </w:r>
      <w:r>
        <w:t xml:space="preserve"> statements received.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awarding housing tax credit allocations, the board shall document the reasons for each project's selection, including an explanation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discretionary factors used in making its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reasons for any decision that conflicts with the recommendations of department staff under Section 2306.6731.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evaluating applications submitted under this subchapter, the department may adopt only a scoring criterion that is specified in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2306.6726(a),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An owner of a development subject to a right of first refusal under Section </w:t>
      </w:r>
      <w:r>
        <w:rPr>
          <w:u w:val="single"/>
        </w:rPr>
        <w:t xml:space="preserve">2306.6710(b)(4)</w:t>
      </w:r>
      <w:r>
        <w:t xml:space="preserve"> [</w:t>
      </w:r>
      <w:r>
        <w:rPr>
          <w:strike/>
        </w:rPr>
        <w:t xml:space="preserve">2306.6725</w:t>
      </w:r>
      <w:r>
        <w:t xml:space="preserve">] who intends to sell the development at any time after the expiration of the compliance period shall notify the department and the tenants of the development of the owner's intent to sell and, if applicable, shall specifically identify to the department any qualified entity that is the owner's intended recipient of the right of first refusal in the land use restriction agreement.</w:t>
      </w:r>
    </w:p>
    <w:p w:rsidR="003F3435" w:rsidRDefault="0032493E">
      <w:pPr>
        <w:spacing w:line="480" w:lineRule="auto"/>
        <w:ind w:firstLine="720"/>
        <w:jc w:val="both"/>
      </w:pPr>
      <w:r>
        <w:t xml:space="preserve">(b)</w:t>
      </w:r>
      <w:r xml:space="preserve">
        <w:t> </w:t>
      </w:r>
      <w:r xml:space="preserve">
        <w:t> </w:t>
      </w:r>
      <w:r>
        <w:t xml:space="preserve">The owner of a development subject to a right of first refusal under Section </w:t>
      </w:r>
      <w:r>
        <w:rPr>
          <w:u w:val="single"/>
        </w:rPr>
        <w:t xml:space="preserve">2306.6710(b)(4)</w:t>
      </w:r>
      <w:r>
        <w:t xml:space="preserve"> [</w:t>
      </w:r>
      <w:r>
        <w:rPr>
          <w:strike/>
        </w:rPr>
        <w:t xml:space="preserve">2306.6725</w:t>
      </w:r>
      <w:r>
        <w:t xml:space="preserve">] may:</w:t>
      </w:r>
    </w:p>
    <w:p w:rsidR="003F3435" w:rsidRDefault="0032493E">
      <w:pPr>
        <w:spacing w:line="480" w:lineRule="auto"/>
        <w:ind w:firstLine="1440"/>
        <w:jc w:val="both"/>
      </w:pPr>
      <w:r>
        <w:t xml:space="preserve">(1)</w:t>
      </w:r>
      <w:r xml:space="preserve">
        <w:t> </w:t>
      </w:r>
      <w:r xml:space="preserve">
        <w:t> </w:t>
      </w:r>
      <w:r>
        <w:t xml:space="preserve">during the first 60-day period after notice is provided under Subsection (a-1), negotiate or enter into a purchase agreement only with a qualified entity that is:</w:t>
      </w:r>
    </w:p>
    <w:p w:rsidR="003F3435" w:rsidRDefault="0032493E">
      <w:pPr>
        <w:spacing w:line="480" w:lineRule="auto"/>
        <w:ind w:firstLine="2160"/>
        <w:jc w:val="both"/>
      </w:pPr>
      <w:r>
        <w:t xml:space="preserve">(A)</w:t>
      </w:r>
      <w:r xml:space="preserve">
        <w:t> </w:t>
      </w:r>
      <w:r xml:space="preserve">
        <w:t> </w:t>
      </w:r>
      <w:r>
        <w:t xml:space="preserve">a community housing development organization as defined by the federal HOME investment partnership program; or</w:t>
      </w:r>
    </w:p>
    <w:p w:rsidR="003F3435" w:rsidRDefault="0032493E">
      <w:pPr>
        <w:spacing w:line="480" w:lineRule="auto"/>
        <w:ind w:firstLine="2160"/>
        <w:jc w:val="both"/>
      </w:pPr>
      <w:r>
        <w:t xml:space="preserve">(B)</w:t>
      </w:r>
      <w:r xml:space="preserve">
        <w:t> </w:t>
      </w:r>
      <w:r xml:space="preserve">
        <w:t> </w:t>
      </w:r>
      <w:r>
        <w:t xml:space="preserve">controlled by an entity described by Paragraph (A);</w:t>
      </w:r>
    </w:p>
    <w:p w:rsidR="003F3435" w:rsidRDefault="0032493E">
      <w:pPr>
        <w:spacing w:line="480" w:lineRule="auto"/>
        <w:ind w:firstLine="1440"/>
        <w:jc w:val="both"/>
      </w:pPr>
      <w:r>
        <w:t xml:space="preserve">(2)</w:t>
      </w:r>
      <w:r xml:space="preserve">
        <w:t> </w:t>
      </w:r>
      <w:r xml:space="preserve">
        <w:t> </w:t>
      </w:r>
      <w:r>
        <w:t xml:space="preserve">during the second 60-day period after notice is provided under Subsection (a-1), negotiate or enter into a purchase agreement with a qualified entity that:</w:t>
      </w:r>
    </w:p>
    <w:p w:rsidR="003F3435" w:rsidRDefault="0032493E">
      <w:pPr>
        <w:spacing w:line="480" w:lineRule="auto"/>
        <w:ind w:firstLine="2160"/>
        <w:jc w:val="both"/>
      </w:pPr>
      <w:r>
        <w:t xml:space="preserve">(A)</w:t>
      </w:r>
      <w:r xml:space="preserve">
        <w:t> </w:t>
      </w:r>
      <w:r xml:space="preserve">
        <w:t> </w:t>
      </w:r>
      <w:r>
        <w:t xml:space="preserve">is described by Section 2306.6706;</w:t>
      </w:r>
    </w:p>
    <w:p w:rsidR="003F3435" w:rsidRDefault="0032493E">
      <w:pPr>
        <w:spacing w:line="480" w:lineRule="auto"/>
        <w:ind w:firstLine="2160"/>
        <w:jc w:val="both"/>
      </w:pPr>
      <w:r>
        <w:t xml:space="preserve">(B)</w:t>
      </w:r>
      <w:r xml:space="preserve">
        <w:t> </w:t>
      </w:r>
      <w:r xml:space="preserve">
        <w:t> </w:t>
      </w:r>
      <w:r>
        <w:t xml:space="preserve">is controlled by an entity described by Paragraph (A); or</w:t>
      </w:r>
    </w:p>
    <w:p w:rsidR="003F3435" w:rsidRDefault="0032493E">
      <w:pPr>
        <w:spacing w:line="480" w:lineRule="auto"/>
        <w:ind w:firstLine="2160"/>
        <w:jc w:val="both"/>
      </w:pPr>
      <w:r>
        <w:t xml:space="preserve">(C)</w:t>
      </w:r>
      <w:r xml:space="preserve">
        <w:t> </w:t>
      </w:r>
      <w:r xml:space="preserve">
        <w:t> </w:t>
      </w:r>
      <w:r>
        <w:t xml:space="preserve">is a tenant organization; and</w:t>
      </w:r>
    </w:p>
    <w:p w:rsidR="003F3435" w:rsidRDefault="0032493E">
      <w:pPr>
        <w:spacing w:line="480" w:lineRule="auto"/>
        <w:ind w:firstLine="1440"/>
        <w:jc w:val="both"/>
      </w:pPr>
      <w:r>
        <w:t xml:space="preserve">(3)</w:t>
      </w:r>
      <w:r xml:space="preserve">
        <w:t> </w:t>
      </w:r>
      <w:r xml:space="preserve">
        <w:t> </w:t>
      </w:r>
      <w:r>
        <w:t xml:space="preserve">during the last 60-day period after notice is provided under Subsection (a-1), negotiate or enter into a purchase agreement with any other qualified entity.</w:t>
      </w:r>
    </w:p>
    <w:p w:rsidR="003F3435" w:rsidRDefault="0032493E">
      <w:pPr>
        <w:spacing w:line="480" w:lineRule="auto"/>
        <w:ind w:firstLine="720"/>
        <w:jc w:val="both"/>
      </w:pPr>
      <w:r>
        <w:t xml:space="preserve">(c)</w:t>
      </w:r>
      <w:r xml:space="preserve">
        <w:t> </w:t>
      </w:r>
      <w:r xml:space="preserve">
        <w:t> </w:t>
      </w:r>
      <w:r>
        <w:t xml:space="preserve">Beginning on the 181st day after the date the department posts notice under Subsection (a-1), an owner of a development subject to a right of first refusal under Section </w:t>
      </w:r>
      <w:r>
        <w:rPr>
          <w:u w:val="single"/>
        </w:rPr>
        <w:t xml:space="preserve">2306.6710(b)(4)</w:t>
      </w:r>
      <w:r>
        <w:t xml:space="preserve"> [</w:t>
      </w:r>
      <w:r>
        <w:rPr>
          <w:strike/>
        </w:rPr>
        <w:t xml:space="preserve">2306.6725</w:t>
      </w:r>
      <w:r>
        <w:t xml:space="preserve">] may sell to any purchaser a development to which the right of first refusal applies if a qualified entity does not offer to purchase the development for a price that the department determines to be reasonable.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2306.6725,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