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86R9531 MAW-D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4163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court to grant a commutation of punishment for certain persons released on parole.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48, Code of Criminal Procedure, is amended by adding Article 48.07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48.07.</w:t>
      </w:r>
      <w:r>
        <w:rPr>
          <w:u w:val="single"/>
        </w:rPr>
        <w:t xml:space="preserve"> </w:t>
      </w:r>
      <w:r>
        <w:rPr>
          <w:u w:val="single"/>
        </w:rPr>
        <w:t xml:space="preserve"> </w:t>
      </w:r>
      <w:r>
        <w:rPr>
          <w:u w:val="single"/>
        </w:rPr>
        <w:t xml:space="preserve">COMMUTATION FOR CERTAIN PAROLEES.  (a)  A person released on parole may file a motion with the court in which the person was convicted requesting that the court commute the person's sentence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was released on parole not less than 10 years before the date the motion is filed;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release on parole was not revoked at any time during the period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is not required to register as a sex offender under Chapter 62.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must submit with the motion information relevant to the person's rehabilitation,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employment history while released on parole;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concerning any educational or training programs completed by the person while confined or released on parole;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concerning any volunteer activities of the person;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letters of support for the person's motion.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a motion under this article,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attorney representing the state in the jurisdiction in which the person was convicted;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from the Texas Department of Criminal Justice under Section 508.313, Government Code, information related to the conduct of the person while on parole.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representing the state may submit to the court any relevant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may hold a hearing to consider the motion and may take testimony from the person who submitted the motion or from any other person having relevant information.  If the court holds a hearing, the court shall provide notice of the hearing to the attorney representing the state and allow the attorney to participate in the hearing.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180th day after the date a motion is filed under this article, the court shall review the motion, the information obtained under Subsection (c)(2) or provided by the attorney representing the state, and any testimony presented at the hearing, if applicable, to determine whether the person who filed the motion meets the eligibility requirements under Subsection (a).  If the person is eligible, the court shall issue an order commuting the person's sentence if the court determines that it is in the best interest of justice, the public, and the person.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authority of a court under this article is limited to commuting the person's sentence to reflect the time served by the person while confined or released on parole as of the date the order is issued.  In commuting the sentence the court may not impose conditions on the issuance of the order or otherwise related to the person's release.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who receives an order of commutation under this article is considered to have fully discharged the person's sentence.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508.313(d), Government Code, is amended to read as follows:</w:t>
      </w:r>
    </w:p>
    <w:p w:rsidR="003F3435" w:rsidRDefault="0032493E">
      <w:pPr>
        <w:spacing w:line="480" w:lineRule="auto"/>
        <w:ind w:firstLine="720"/>
        <w:jc w:val="both"/>
      </w:pPr>
      <w:r>
        <w:t xml:space="preserve">(d)</w:t>
      </w:r>
      <w:r xml:space="preserve">
        <w:t> </w:t>
      </w:r>
      <w:r xml:space="preserve">
        <w:t> </w:t>
      </w:r>
      <w:r>
        <w:t xml:space="preserve">In this section, "eligible entity" means:</w:t>
      </w:r>
    </w:p>
    <w:p w:rsidR="003F3435" w:rsidRDefault="0032493E">
      <w:pPr>
        <w:spacing w:line="480" w:lineRule="auto"/>
        <w:ind w:firstLine="1440"/>
        <w:jc w:val="both"/>
      </w:pPr>
      <w:r>
        <w:t xml:space="preserve">(1)</w:t>
      </w:r>
      <w:r xml:space="preserve">
        <w:t> </w:t>
      </w:r>
      <w:r xml:space="preserve">
        <w:t> </w:t>
      </w:r>
      <w:r>
        <w:t xml:space="preserve">a government agency, including the office of a prosecuting attorney;</w:t>
      </w:r>
    </w:p>
    <w:p w:rsidR="003F3435" w:rsidRDefault="0032493E">
      <w:pPr>
        <w:spacing w:line="480" w:lineRule="auto"/>
        <w:ind w:firstLine="1440"/>
        <w:jc w:val="both"/>
      </w:pPr>
      <w:r>
        <w:t xml:space="preserve">(2)</w:t>
      </w:r>
      <w:r xml:space="preserve">
        <w:t> </w:t>
      </w:r>
      <w:r xml:space="preserve">
        <w:t> </w:t>
      </w:r>
      <w:r>
        <w:t xml:space="preserve">an organization with which the department contracts or an organization to which the department provides a grant;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an organization to which inmates are referred for services by the department</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court considering a motion under Article 48.07, Code of Criminal Procedure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to a person on parole on or after the effective date of this Act, regardless of whether the person was released on parole before, on, or after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December 1, 2019, but only if the constitutional amendment proposed by the 86th Legislature, Regular Session, 2019, authorizing the legislature to enact laws providing for a court to grant a commutation of punishment to a person who has successfully served the required number of years on parole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