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Anchia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alcoholic beverage licenses and permits.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61.71(a)(25),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or administrator may suspend for not more than 60 days or cancel an original or renewal retail dealer's on- or off-premise license if it is found, after notice and hearing, that the licensee: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occupied premises in which the holder of a manufacturer's or distributor's license had an interest of any kind</w:t>
      </w:r>
      <w:r>
        <w:rPr>
          <w:u w:val="single"/>
        </w:rPr>
        <w:t xml:space="preserve">, except as described by Section 102.03(c)</w:t>
      </w:r>
      <w:r>
        <w:t xml:space="preserve">;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102.03, Alcoholic Beverage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102.03.</w:t>
      </w:r>
      <w:r xml:space="preserve">
        <w:t> </w:t>
      </w:r>
      <w:r xml:space="preserve">
        <w:t> </w:t>
      </w:r>
      <w:r>
        <w:t xml:space="preserve">PERSONS BARRED FROM INTEREST IN PREMISES OF RETAIL LIQUOR OUTLET.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of this section does not prohibit the  holder of a non-resident seller's permit, direct shipper's permit,  winery permit or wine bottler's permit that has an interest  directly or indirectly, or through a subsidiary, affiliate, agent,  employee, officer, director, or firm member in a commercial real  estate development located within a municipality from leasing a premise that is part of the commercial real estate development to  the holder of a package store permit, wine only package store  permit, or mixed beverage permit if the holder of the non-resident  seller's permit, direct shipper's permit, winery permit or wine  bottler's permit, either directly or indirectly, or through a subsidiary, affiliate, agent, employee, officer, director, or firm member: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a minimum of 1,000,000 cumulative gross square feet  of commercial real estate contiguous to, adjacent to, or within two square miles of the premises,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commercial real estate, comprising the premises,  that is within a 2 mile radius of a civic theater center, symphony hall, opera hall, museum, athletic training facility, or public  entertainment facility as defined in Section 108.73(2).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102.04(b),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102.04.</w:t>
      </w:r>
      <w:r xml:space="preserve">
        <w:t> </w:t>
      </w:r>
      <w:r xml:space="preserve">
        <w:t> </w:t>
      </w:r>
      <w:r>
        <w:t xml:space="preserve">PERSONS BARRED FROM INTEREST IN MIXED BEVERAGE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permitted in Section 23.01 </w:t>
      </w:r>
      <w:r>
        <w:rPr>
          <w:u w:val="single"/>
        </w:rPr>
        <w:t xml:space="preserve">and Section 102.03(c) of this code</w:t>
      </w:r>
      <w:r>
        <w:t xml:space="preserve">, no person to whom this section applies may: (1) have a direct or indirect interest in the business, premises, equipment, or fixtures of a mixed beverage establishment; (2) furnish or lend any money, service, or other thing of value to a mixed beverage permittee or guarantee the fulfillment of a financial obligation of a mixed beverage permittee; (3) enter or offer to enter into an agreement, condition, or system which in effect amounts to the shipment and delivery of alcoholic beverages on consignment; (4) furnish, rent, lend, or sell to a mixed beverage permittee any equipment, fixtures, or supplies used in the selling or dispensing of alcoholic beverages; Texas Alcoholic Beverage Code (2017) 135 (5) pay or make an allowance to a mixed beverage permittee for a special advertising or distributing service, or allow the permittee an excessive discount; (6) offer to a mixed beverage permittee a prize, premium, or other inducement, except as permitted by Section 102.07 (b) of this code; or (7) advertise in the convention program or sponsor a function at a meeting or convention or a trade association of holders of mixed beverage permits, unless the trade association was incorporated before 1950.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102.07(a)(1),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in Subsections (b), (d), and (g), no person who owns or has an interest in the business of a distiller, brewer, rectifier, wholesaler, class B wholesaler, winery, or wine bottler, nor the agent, servant, or employee of such a person,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except as permitted by Section 102.03(c),</w:t>
      </w:r>
      <w:r>
        <w:t xml:space="preserve"> own or have a direct or indirect interest in the business, premises, equipment, or fixtures of a retailer;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