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intercollegiate athletics fee at the University of North Texas at Dallas.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54.5192.</w:t>
      </w:r>
      <w:r>
        <w:rPr>
          <w:u w:val="single"/>
        </w:rPr>
        <w:t xml:space="preserve"> </w:t>
      </w:r>
      <w:r>
        <w:rPr>
          <w:u w:val="single"/>
        </w:rPr>
        <w:t xml:space="preserve"> </w:t>
      </w:r>
      <w:r>
        <w:rPr>
          <w:u w:val="single"/>
        </w:rPr>
        <w:t xml:space="preserve">INTERCOLLEGIATE ATHLETICS FEE; UNIVERSITY OF NORTH TEXAS AT DALLAS.  (a)  The board of regents of the University of North Texas System may charge each student enrolled at the University of North Texas at Dallas an intercollegiate athletics fee in an initial amount not to exceed $10 per semester credit hour for each regular semester or summer session. </w:t>
      </w:r>
      <w:r>
        <w:rPr>
          <w:u w:val="single"/>
        </w:rPr>
        <w:t xml:space="preserve"> </w:t>
      </w:r>
      <w:r>
        <w:rPr>
          <w:u w:val="single"/>
        </w:rPr>
        <w:t xml:space="preserve">The amount of the fee may be increased only as provided by Subsection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more than 12 semester credit hours shall pay the fee in an amount equal to the amount charged a student enrolled in 12 semester credit hours during the same semester or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from the fee charged under this section may be used only to develop and maintain an intercollegiate athletics program at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fee may not be charged unless approved by a majority vote of the students enrolled at the university who participate in a general student election held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ballot proposition for an election to approve a proposed initial fee under Subsection (d) or a proposed fee increase under Subsection (e)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 the amount of the proposed fee or fee increase,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reason for the proposed fee or fee increase,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fee charged under this section is in addition to any other fee authorized by law and may not be considered in determining the maximum amount of student services fees that may be charged each student enrolled at the university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fee may not be charged under Section 54.5192, Education Code, as added by this Act, before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4182 was passed by the House on April 26, 2019, by the following vote:</w:t>
      </w:r>
      <w:r xml:space="preserve">
        <w:t> </w:t>
      </w:r>
      <w:r xml:space="preserve">
        <w:t> </w:t>
      </w:r>
      <w:r>
        <w:t xml:space="preserve">Yeas 118, Nays 21, 2 present, not voting; and that the House concurred in Senate amendments to H.B. No. 4182 on May 24, 2019, by the following vote:</w:t>
      </w:r>
      <w:r xml:space="preserve">
        <w:t> </w:t>
      </w:r>
      <w:r xml:space="preserve">
        <w:t> </w:t>
      </w:r>
      <w:r>
        <w:t xml:space="preserve">Yeas 94, Nays 48,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4182 was passed by the Senate, with amendments, on May 22,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