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86R14303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reporting of certain felony offenses to prosecuting attorneys and to allegations regarding a peace officer's retaliatory action taken because of that report.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2, Code of Criminal Procedure, is amended by adding Article 2.33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2.33.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REPORTING CRIMINAL OFFENSES TO PROSECUTING ATTORNEYS.  (a) </w:t>
      </w:r>
      <w:r>
        <w:rPr>
          <w:u w:val="single"/>
        </w:rPr>
        <w:t xml:space="preserve"> </w:t>
      </w:r>
      <w:r>
        <w:rPr>
          <w:u w:val="single"/>
        </w:rPr>
        <w:t xml:space="preserve">A person with knowledge of the commission of a felony offense other than a state jail felony under the laws of this state may report the offense to any attorney who prosecutes criminal cases on behalf of the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(c), if a peace officer in this state has not prepared a written report relating to the offense reported under Subsection (a), the attorney shall investigate the report under Subsection (a) and may refer the matter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with jurisdiction over the offense.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attorney to whom a report of the commission of an offense is made under Subsection (a) is required to investigate the report only if the person making the report demonstrates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previously reported the offense to law enforcement more than one year before the date of the report under Subsection 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following the report to law enforcement under Subdivision (1), the person diligently cooperated with law enforcement in investigating the offense for a period of not less than one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411.0207, Government Code, is amended by amending Subsection (a) and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"Organized</w:t>
      </w:r>
      <w:r>
        <w:t xml:space="preserve"> [</w:t>
      </w:r>
      <w:r>
        <w:rPr>
          <w:strike/>
        </w:rPr>
        <w:t xml:space="preserve">, "organized</w:t>
      </w:r>
      <w:r>
        <w:t xml:space="preserve">] criminal activity" means conduct that constitutes an offense under Section 71.02, Penal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"Retaliatory action" incudes the filing of criminal charges, the seizure of property, or the arrest or search of an individual without probable cause.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unit may investigate an allegation of a retaliatory action taken by an individual elected, appointed, or employed as a peace officer for a governmental entity against a person because the person made a report under Article 2.33(a),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