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86R14191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4191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wound care education and training services providers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32.02491.</w:t>
      </w:r>
      <w:r>
        <w:rPr>
          <w:u w:val="single"/>
        </w:rPr>
        <w:t xml:space="preserve"> </w:t>
      </w:r>
      <w:r>
        <w:rPr>
          <w:u w:val="single"/>
        </w:rPr>
        <w:t xml:space="preserve"> </w:t>
      </w:r>
      <w:r>
        <w:rPr>
          <w:u w:val="single"/>
        </w:rPr>
        <w:t xml:space="preserve">REIMBURSEMENT OF CERTAIN PROVIDERS OF WOUND CARE EDUCATION AND TRAINING SERVICES.  (a) </w:t>
      </w:r>
      <w:r>
        <w:rPr>
          <w:u w:val="single"/>
        </w:rPr>
        <w:t xml:space="preserve"> </w:t>
      </w:r>
      <w:r>
        <w:rPr>
          <w:u w:val="single"/>
        </w:rPr>
        <w:t xml:space="preserve">The commission shall provide medical assistance reimbursement to an authorized wound care education and training services provider who provides to a recipient necessary wound care education and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approve a person as an authorized wound care education and training services provider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as a provider under the medical assistance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quality standards for wound care education and training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authorized wound care education and training services provider shall determine a recipient's need for wound care education and training services.  The provider must certify that the education and training is necessary for the recipient to provide self-care in order to assist in wound care management and to improve the recipient's health care outcomes.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after consulting with organizations that assist individuals with wound care, including recipients of medical assistance,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reimbursement rates for an authorized wound care education and training services provider for the provision of wound care education and training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outcome measures for evaluating the health care outcomes of recipients who receive wound care education and training services from an authorized wound care education and training services provider.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