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86R15246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4198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exclusion from total revenue of certain payments made by a performing rights society for purposes of computing the franchise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171.1011, Tax Code, is amended by adding Subsection (g-12) to read as follows:</w:t>
      </w:r>
    </w:p>
    <w:p w:rsidR="003F3435" w:rsidRDefault="0032493E">
      <w:pPr>
        <w:spacing w:line="480" w:lineRule="auto"/>
        <w:ind w:firstLine="720"/>
        <w:jc w:val="both"/>
      </w:pPr>
      <w:r>
        <w:rPr>
          <w:u w:val="single"/>
        </w:rPr>
        <w:t xml:space="preserve">(g-12)</w:t>
      </w:r>
      <w:r>
        <w:rPr>
          <w:u w:val="single"/>
        </w:rPr>
        <w:t xml:space="preserve"> </w:t>
      </w:r>
      <w:r>
        <w:rPr>
          <w:u w:val="single"/>
        </w:rPr>
        <w:t xml:space="preserve"> </w:t>
      </w:r>
      <w:r>
        <w:rPr>
          <w:u w:val="single"/>
        </w:rPr>
        <w:t xml:space="preserve">A taxable entity that is a performing rights society that licenses the public performance of nondramatic musical works on behalf of a copyright owner shall exclude from its total revenue, to the extent included under Subsection (c)(1)(A), (c)(2)(A), or (c)(3), payments made to the public performance rights holder and copyright owner for whom the taxable entity licenses the public performance.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report originally due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