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86R3454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eliminating the wrongful birth cause of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4, Civil Practice and Remedies Code, is amended by adding Chapter 71A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71A.  PROHIBITED CAUSES OF ACTION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71A.0001.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WRONGFUL BIRTH.  (a) </w:t>
      </w:r>
      <w:r>
        <w:rPr>
          <w:u w:val="single"/>
        </w:rPr>
        <w:t xml:space="preserve"> </w:t>
      </w:r>
      <w:r>
        <w:rPr>
          <w:u w:val="single"/>
        </w:rPr>
        <w:t xml:space="preserve">A cause of action may not arise, and damages may not be awarded, on behalf of any person, based on the claim that but for the act or omission of another, a person would not have been permitted to have been born alive but would have been aborted.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 eliminate any duty of a physician or other health care practitioner under any other applicable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71A.0001,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