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86R16822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from required disclosure of information related to certain crime victims maintained by a county or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552.1315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552.1315.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EXCEPTION: CONFIDENTIALITY OF CERTAIN CRIME VICTIM RECORDS. Information maintained by a county or district clerk is confidential and not subject to disclosure under this chapter if the information identifies an individual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victim of an offense under Section 22.011 or 22.021, Penal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victim of any criminal offense, if the victim was younger than 17 years of age when any element of the offense was committed.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request for information that is received by a governmental body or an officer for public information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