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court to grant a motion for a new trial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 Code of Criminal Procedure, is amended by adding Article 40.002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40.002.</w:t>
      </w:r>
      <w:r>
        <w:rPr>
          <w:u w:val="single"/>
        </w:rPr>
        <w:t xml:space="preserve"> </w:t>
      </w:r>
      <w:r>
        <w:rPr>
          <w:u w:val="single"/>
        </w:rPr>
        <w:t xml:space="preserve"> </w:t>
      </w:r>
      <w:r>
        <w:rPr>
          <w:u w:val="single"/>
        </w:rPr>
        <w:t xml:space="preserve">NEW TRIAL ON MOTION BY AGREEMENT OF PARTIES.  (a) At any time during the period of a term of imprisonment of more than three years or at any time after the imposition of the penalty of death, a defendant may, with the written consent of the attorney representing the state, file a motion for a new trial with the convicting court.  The court may, after a hearing, grant the defendant a new trial in the interest of justice.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who is granted a new trial under this article may be prosecuted and punished in accordance with the statutory provisions criminalizing and prescribing punishment for the applicable conduct that were in effect at the time the conduct occurred or under the applicable statutory provisions in effect at the time the new trial is granted.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Neither the attorney representing the state nor the defendant is entitled to make an interlocutory appeal from the court's decision to grant or deny a motion for a new trial under this article.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condition the attorney's consent to a motion for a new trial on any appropriate reason, including a requirement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plead guilty and accept a specific punishment;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the defendant's parole eligibility as part of any punishment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the defendant's right to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trial court has granted the motion under this article, the defendant may withdraw the motion or the attorney representing the state may withdraw consent to the motion.  If the motion or consent is withdrawn, the court may not grant a new trial in the case based on that motion.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 Article 11.07, Code of Criminal Procedure,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Court of Criminal Appeals may deny relief upon the findings and conclusions of the hearing judge without docketing the cause, or may direct that the cause be docketed and heard as though originally presented to said court or as an appeal.  Upon reviewing the record the court shall enter its judgment remanding the applicant to custody or ordering his release, as the law and facts may justify.  The mandate of the court shall issue to the court issuing the writ, as in other criminal cases.  After conviction</w:t>
      </w:r>
      <w:r>
        <w:rPr>
          <w:u w:val="single"/>
        </w:rPr>
        <w:t xml:space="preserve">, except as otherwise provided by Article 40.002,</w:t>
      </w:r>
      <w:r>
        <w:t xml:space="preserve"> the procedure outlined in this </w:t>
      </w:r>
      <w:r>
        <w:rPr>
          <w:u w:val="single"/>
        </w:rPr>
        <w:t xml:space="preserve">article</w:t>
      </w:r>
      <w:r>
        <w:t xml:space="preserve"> [</w:t>
      </w:r>
      <w:r>
        <w:rPr>
          <w:strike/>
        </w:rPr>
        <w:t xml:space="preserve">Act</w:t>
      </w:r>
      <w:r>
        <w:t xml:space="preserve">] shall be exclusive and any other proceeding shall be void and of no force and effect in discharging the prisoner.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 Article 11.071,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APPLICATION TO DEATH PENALTY CASE. </w:t>
      </w:r>
      <w:r>
        <w:t xml:space="preserve"> </w:t>
      </w:r>
      <w:r>
        <w:t xml:space="preserve">Notwithstanding any other provision of this chapter, this article establishes the procedures for an application for a writ of habeas corpus in which the applicant seeks relief from a judgment imposing a penalty of death.  </w:t>
      </w:r>
      <w:r>
        <w:rPr>
          <w:u w:val="single"/>
        </w:rPr>
        <w:t xml:space="preserve">This article does not affect the authority of a court to grant a motion for a new trial under Article 40.002.</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