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86R10799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4207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jurisdiction of a statutory county court in civil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25.0003(c),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other jurisdiction provided by law, a statutory county court exercising civil jurisdiction concurrent with the constitutional jurisdiction of the county court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civil cases in which the matter in controversy exceeds $500 but does not exceed </w:t>
      </w:r>
      <w:r>
        <w:rPr>
          <w:u w:val="single"/>
        </w:rPr>
        <w:t xml:space="preserve">$250,000</w:t>
      </w:r>
      <w:r>
        <w:t xml:space="preserve"> [</w:t>
      </w:r>
      <w:r>
        <w:rPr>
          <w:strike/>
        </w:rPr>
        <w:t xml:space="preserve">$200,000</w:t>
      </w:r>
      <w:r>
        <w:t xml:space="preserve">], excluding interest, statutory or punitive damages and penalties, and attorney's fees and costs, as alleged on the face of the petition; and</w:t>
      </w:r>
    </w:p>
    <w:p w:rsidR="003F3435" w:rsidRDefault="0032493E">
      <w:pPr>
        <w:spacing w:line="480" w:lineRule="auto"/>
        <w:ind w:firstLine="1440"/>
        <w:jc w:val="both"/>
      </w:pPr>
      <w:r>
        <w:t xml:space="preserve">(2)</w:t>
      </w:r>
      <w:r xml:space="preserve">
        <w:t> </w:t>
      </w:r>
      <w:r xml:space="preserve">
        <w:t> </w:t>
      </w:r>
      <w:r>
        <w:t xml:space="preserve">appeals of final rulings and decisions of the division of workers' compensation of the Texas Department of Insurance regarding workers' compensation claims, regardless of the amount in controversy.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25.0003(c), Government Code, as amended by this Act, applies only to a cause of action filed on or after the effective date of this Act. A cause of action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