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86R3600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4210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publication of notice requirements for certain governmental entities and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2051.044(a),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newspaper in which a notice is published must:</w:t>
      </w:r>
    </w:p>
    <w:p w:rsidR="003F3435" w:rsidRDefault="0032493E">
      <w:pPr>
        <w:spacing w:line="480" w:lineRule="auto"/>
        <w:ind w:firstLine="1440"/>
        <w:jc w:val="both"/>
      </w:pPr>
      <w:r>
        <w:t xml:space="preserve">(1)</w:t>
      </w:r>
      <w:r xml:space="preserve">
        <w:t> </w:t>
      </w:r>
      <w:r xml:space="preserve">
        <w:t> </w:t>
      </w:r>
      <w:r>
        <w:t xml:space="preserve">devote not less than 25 percent of its total column lineage to general interest items;</w:t>
      </w:r>
    </w:p>
    <w:p w:rsidR="003F3435" w:rsidRDefault="0032493E">
      <w:pPr>
        <w:spacing w:line="480" w:lineRule="auto"/>
        <w:ind w:firstLine="1440"/>
        <w:jc w:val="both"/>
      </w:pPr>
      <w:r>
        <w:t xml:space="preserve">(2)</w:t>
      </w:r>
      <w:r xml:space="preserve">
        <w:t> </w:t>
      </w:r>
      <w:r xml:space="preserve">
        <w:t> </w:t>
      </w:r>
      <w:r>
        <w:t xml:space="preserve">be published at least once each week;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be entered as second-class postal matter in the county where published;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been published regularly and continuously for at least 12 months before the governmental entity or representative publishes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2051.049, Government Code, is amended to read as follows:</w:t>
      </w:r>
    </w:p>
    <w:p w:rsidR="003F3435" w:rsidRDefault="0032493E">
      <w:pPr>
        <w:spacing w:line="480" w:lineRule="auto"/>
        <w:ind w:firstLine="720"/>
        <w:jc w:val="both"/>
      </w:pPr>
      <w:r>
        <w:t xml:space="preserve">Sec.</w:t>
      </w:r>
      <w:r xml:space="preserve">
        <w:t> </w:t>
      </w:r>
      <w:r>
        <w:t xml:space="preserve">2051.049.</w:t>
      </w:r>
      <w:r xml:space="preserve">
        <w:t> </w:t>
      </w:r>
      <w:r xml:space="preserve">
        <w:t> </w:t>
      </w:r>
      <w:r>
        <w:t xml:space="preserve">SELECTION OF NEWSPAPER. </w:t>
      </w:r>
      <w:r>
        <w:rPr>
          <w:u w:val="single"/>
        </w:rPr>
        <w:t xml:space="preserve">(a)</w:t>
      </w:r>
      <w:r>
        <w:t xml:space="preserve">  The governmental entity or representative required to publish a notice in a newspaper shall select, in accordance with this subchapter, one or more newspapers to publish the notice.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encourage the development of minority-owned businesses in this state, a governmental entity or representative that publishes a notice in a newspaper under Section 2051.044 shall consider selecting a newspaper that is a minority-owned business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substantial percentage of the individuals residing in the area where the notice is to be published are members of one or more minority groups;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newspaper in the area where the notice is to be published: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minority-owned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widely circulated in that area.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"minority-owned business" and "minority group" have the meanings assigned by Section 161.131(c), Natural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2051.044(a), Government Code, as amended by this Act, and Section 2051.049(b), Government Code, as added by this Act, apply only to a publication of notice first published on or after the effective date of this Act.  A publication of notice published before the effective date of this Act is governed by the law in effect at the time of the publication,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