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86R4575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rates of the state gasoline and diesel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162.102, Tax Code, is amended to read as follows:</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TAX RATE.  The gasoline tax rate is </w:t>
      </w:r>
      <w:r>
        <w:rPr>
          <w:u w:val="single"/>
        </w:rPr>
        <w:t xml:space="preserve">40</w:t>
      </w:r>
      <w:r>
        <w:t xml:space="preserve"> [</w:t>
      </w:r>
      <w:r>
        <w:rPr>
          <w:strike/>
        </w:rPr>
        <w:t xml:space="preserve">20</w:t>
      </w:r>
      <w:r>
        <w:t xml:space="preserve">] cents for each net gallon or fractional part on which the tax is imposed under Section 162.101.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162.202, Tax Code, is amended to read as follows:</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TAX RATE.  The diesel fuel tax rate is </w:t>
      </w:r>
      <w:r>
        <w:rPr>
          <w:u w:val="single"/>
        </w:rPr>
        <w:t xml:space="preserve">40</w:t>
      </w:r>
      <w:r>
        <w:t xml:space="preserve"> [</w:t>
      </w:r>
      <w:r>
        <w:rPr>
          <w:strike/>
        </w:rPr>
        <w:t xml:space="preserve">20</w:t>
      </w:r>
      <w:r>
        <w:t xml:space="preserve">] cents for each net gallon or fractional part on which the tax is imposed under Section 162.201.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