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86R9121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alternatively fueled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ALTERNATIVELY FUELED VEHICLES.  (a)  In this section, "alternatively fueled vehicle" has the meaning assigned by Section 502.004.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alternatively fueled vehicle, the applicant shall pay an additional fee as determined by the department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for each class of vehicle registered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methodology for determining the fee under Subsection (b) that calculates the fee based on the average annual amount of taxes imposed under Chapter 162, Tax Code, that an alternatively fueled vehicle of that class of vehicle would pay if the vehicle operated only on gasoline or diesel fuel;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fee in an amount of not less than 75 percent and not more than 85 percent of the amount calculated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review and update each fee calculated under Subsection (c) at least once every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alternatively fueled vehicle that may be registered under this chapter without payment of a registration fee may be registered without payment of the additional fee.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additional fee shall be collected for an alternatively fueled vehicle when other fees imposed under this chapter are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administer registration for an alternatively fueled vehicle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