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86R8573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Israel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public works contracting requirements to a metropolitan rapid transit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451, Transportation Code, is amended by adding Section 451.1111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451.1111.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 FROM OTHER CONTRACTING LAW.  Chapter 2269, Government Code, does not apply to an authority.  An authority may adopt design-build procedures that do not materially conflict with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Subchapter H, Chapter 2269,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2269.353(b),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 for a project under this subchapter may cover only a single integrated project.</w:t>
      </w:r>
      <w:r xml:space="preserve">
        <w:t> </w:t>
      </w:r>
      <w:r xml:space="preserve">
        <w:t> </w:t>
      </w:r>
      <w:r>
        <w:t xml:space="preserve">A governmental entity may not enter into a contract for aggregated projects at multiple locations.</w:t>
      </w:r>
      <w:r xml:space="preserve">
        <w:t> </w:t>
      </w:r>
      <w:r xml:space="preserve">
        <w:t> </w:t>
      </w:r>
      <w:r>
        <w:t xml:space="preserve">For purposes of this subsection</w:t>
      </w:r>
      <w:r>
        <w:rPr>
          <w:u w:val="single"/>
        </w:rPr>
        <w:t xml:space="preserve">,</w:t>
      </w:r>
      <w:r>
        <w:t xml:space="preserve">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a metropolitan transit authority created under Chapter 451, Transportation Code, enters into a contract for a project involving a linear transit project with multiple stops along the project route for boarding passengers, created under Chapter 451, Transportation Code, the linear transit project is a single integrated project;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 water treatment plant, including a desalination plant, that includes treatment facilities, well fields, and pipelines is a single integrated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