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permitting the viewing of certain body worn camera recordings.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1701.660,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 (a-1) and</w:t>
      </w:r>
      <w:r>
        <w:t xml:space="preserve"> [</w:t>
      </w:r>
      <w:r>
        <w:rPr>
          <w:strike/>
        </w:rPr>
        <w:t xml:space="preserve">Subsection</w:t>
      </w:r>
      <w:r>
        <w:t xml:space="preserve">] (b), a recording created with a body worn camera and documenting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law enforcement agency may permit a person who is depicted in a recording of an incident described by Subsection (a) or, if the person is deceased, the person's authorized representative, to view the recording, provided that the law enforcement agency determines that the viewing furthers a law enforcement purpose and provided that any authorized representative who is permitted to view the recording was not a witness to the incident.  A person viewing a recording may not duplicate the recording or capture video or audio from the recording.  A permitted viewing of a recording under this subsection is not considered to be a release of public information for purposes of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recording held by a law enforcement agency on or after the effective date of this Act, regardless of whether the recording was created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4236 was passed by the House on May 10, 2019, by the following vote:</w:t>
      </w:r>
      <w:r xml:space="preserve">
        <w:t> </w:t>
      </w:r>
      <w:r xml:space="preserve">
        <w:t> </w:t>
      </w:r>
      <w:r>
        <w:t xml:space="preserve">Yeas 130,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4236 was passed by the Senate on May 20,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