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dedication of certain revenue to the foundation school fund, the economic stabilization fund, and the state highway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316.093, Government Code, is amended by amending Subsections (c) and (f) and adding Subsections (d) and (e-1) to read as follows:</w:t>
      </w:r>
    </w:p>
    <w:p w:rsidR="003F3435" w:rsidRDefault="0032493E">
      <w:pPr>
        <w:spacing w:line="480" w:lineRule="auto"/>
        <w:ind w:firstLine="720"/>
        <w:jc w:val="both"/>
      </w:pPr>
      <w:r>
        <w:t xml:space="preserve">(c)</w:t>
      </w:r>
      <w:r xml:space="preserve">
        <w:t> </w:t>
      </w:r>
      <w:r xml:space="preserve">
        <w:t> </w:t>
      </w:r>
      <w:r>
        <w:t xml:space="preserve">If under Section 316.092 a sufficient balance has not been adopted for the comptroller to consider under this section, the comptroller shall adjust the allocation of amounts to be transferred to the fund and to the state highway fund provided by Section 49-g(c), Article III, Texas Constitution, so that the total of those amounts is transferred to the </w:t>
      </w:r>
      <w:r>
        <w:rPr>
          <w:u w:val="single"/>
        </w:rPr>
        <w:t xml:space="preserve">foundation school fund</w:t>
      </w:r>
      <w:r>
        <w:t xml:space="preserve"> [</w:t>
      </w:r>
      <w:r>
        <w:rPr>
          <w:strike/>
        </w:rPr>
        <w:t xml:space="preserve">economic stabilization fund, except that the comptroller shall reduce a transfer made under this subsection as necessary to prevent the amount in the fund from exceeding the limit in effect for that biennium under Section 49-g(g) of that article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sum described by Subsection (a) is equal to or greater than the sufficient balance adopted under Section 316.092, the comptroller shall adjust the allocation provided by Section 49-g(c-1), Article III, Texas Constitution, of the amounts to be transferred under Section 49-g(c) of that article so that one-half of the total of the amounts is allocated to be transferred to the state highway fund, a portion of that total is allocated to be transferred to the economic stabilization fund only to the extent a transfer is necessary for that fund's balance to equal the adopted sufficient balance, and the remainder of that total, if any, is allocated to be transferred to the foundation school fund.</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Money allocated to be transferred to the foundation school fund under this section may be used only for the purposes of public primary and secondary education.</w:t>
      </w:r>
    </w:p>
    <w:p w:rsidR="003F3435" w:rsidRDefault="0032493E">
      <w:pPr>
        <w:spacing w:line="480" w:lineRule="auto"/>
        <w:ind w:firstLine="720"/>
        <w:jc w:val="both"/>
      </w:pPr>
      <w:r>
        <w:t xml:space="preserve">(f)</w:t>
      </w:r>
      <w:r xml:space="preserve">
        <w:t> </w:t>
      </w:r>
      <w:r xml:space="preserve">
        <w:t> </w:t>
      </w:r>
      <w:r>
        <w:t xml:space="preserve">Subsections (a), (b), [</w:t>
      </w:r>
      <w:r>
        <w:rPr>
          <w:strike/>
        </w:rPr>
        <w:t xml:space="preserve">and</w:t>
      </w:r>
      <w:r>
        <w:t xml:space="preserve">] (c)</w:t>
      </w:r>
      <w:r>
        <w:rPr>
          <w:u w:val="single"/>
        </w:rPr>
        <w:t xml:space="preserve">, (d), and (e-1)</w:t>
      </w:r>
      <w:r>
        <w:t xml:space="preserve"> and this subsection expire December 31,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certain revenues otherwise allocated for transfer to the economic stabilization fund to be used for purposes related to public primary and secondary education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