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86R26633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4246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4246:</w:t>
      </w: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C.S.H.B.</w:t>
      </w:r>
      <w:r xml:space="preserve">
        <w:t> </w:t>
      </w:r>
      <w:r>
        <w:t xml:space="preserve">No.</w:t>
      </w:r>
      <w:r xml:space="preserve">
        <w:t> </w:t>
      </w:r>
      <w:r>
        <w:t xml:space="preserve">4246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nonsubmetered billing for water or wastewater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13, Water Code, is amended by adding Section 13.5032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13.5032.</w:t>
      </w:r>
      <w:r>
        <w:rPr>
          <w:u w:val="single"/>
        </w:rPr>
        <w:t xml:space="preserve"> </w:t>
      </w:r>
      <w:r>
        <w:rPr>
          <w:u w:val="single"/>
        </w:rPr>
        <w:t xml:space="preserve"> </w:t>
      </w:r>
      <w:r>
        <w:rPr>
          <w:u w:val="single"/>
        </w:rPr>
        <w:t xml:space="preserve">MUNICIPAL NONSUBMETERED BILLING; CHARGES.  (a)  Each municipally owned utility that bills for nonsubmetered master metered utility service shall make publicly available for each entity billed a statement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current copy of the municipally owned utility's rate structure applicable to the billed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fees and charges applicable to the billed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authorize or require a municipally owned utility to make an entity's bill publicly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municipally owned utility may not charge a dwelling unit base charge for nonsubmetered master metered utility service.  A municipally owned utility may not impose different per-meter base charges on residential and commercial customers. Notwithstanding Subchapter C, a person may appeal a charge that does not comply with this subsection by filing a petition with the utility commission.  The utility commission shall hear the appeal de novo, and the municipality charging the fee has the burden of proof to establish that the charge complies with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