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86R23194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the Bastrop County Commissioners Court to charge interest on assessments for certain county improvements of subdivision roads.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253.008, Transportation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(d) </w:t>
      </w:r>
      <w:r>
        <w:rPr>
          <w:u w:val="single"/>
        </w:rPr>
        <w:t xml:space="preserve">or (e)</w:t>
      </w:r>
      <w:r>
        <w:t xml:space="preserve">, the commissioners court may not require the payment of interest on an assessment.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Bastrop County may require the payment of interest on an assessment at the rate determined under Section 304.003, Finance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