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 on the basis of its use for wildlife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 Tax Code, is amended by adding Subdivisions (9), (10), and (11)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"Predator control" includes predation management activities conducted by a local predation management organization or by Texas Wildlife Services in cooperation with the organization. </w:t>
      </w:r>
      <w:r>
        <w:rPr>
          <w:u w:val="single"/>
        </w:rPr>
        <w:t xml:space="preserve"> </w:t>
      </w:r>
      <w:r>
        <w:rPr>
          <w:u w:val="single"/>
        </w:rPr>
        <w:t xml:space="preserve">The landowner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 member in good standing of the local predation management organization and be current in the payment of the organization's membership dues;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local predation management organization or Texas Wildlife Services acting in cooperation with the organization reasonable access to the land to conduct at least one of the approved predation management activities.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"Local predation management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conducts predation management activities in a defined geographical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expends at least 70 percent of the organization's annual budget conducting predation management activities or making contributions to Texas Wildlife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Wildlife Services" includes any of the Texas A&amp;M AgriLife Extension Service Wildlife Services Program's cooperative partners as authorized by Chapter 825, Health and Safety Code, or any successor program having a substantially similar predator control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23.521, Tax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Parks and Wildlife Department, with the assistance of the Texas A&amp;M AgriLife Extension Service, shall develop a definition of "predation management activities" for purposes of Section 23.51.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Parks and Wildlife Department, with the assistance of the Texas A&amp;M AgriLife Extension Service, shall develop a membership form and instructions for using the form to be issued by a local predation management organization to a landowner. A landowner may present the form to a local appraisal office to prove membership in the organization. The form shall include a certification by the organization that the organization is a local predation management organization.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by rule shall adopt the definition described by Subsection (e) and membership form described by Subsection (f) and include them among the rules distributed to each appraisal district as provided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