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86R9264 ATP-D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4255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clarifying the authority of a political party's county chair with respect to certain accounts.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171.022, Election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chair has authority over and is the primary signer on all local party bank accounts.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