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Gervin-Hawkins</w:t>
      </w:r>
      <w:r xml:space="preserve">
        <w:tab wTab="150" tlc="none" cTlc="0"/>
      </w:r>
      <w:r>
        <w:t xml:space="preserve">H.B.</w:t>
      </w:r>
      <w:r xml:space="preserve">
        <w:t> </w:t>
      </w:r>
      <w:r>
        <w:t xml:space="preserve">No.</w:t>
      </w:r>
      <w:r xml:space="preserve">
        <w:t> </w:t>
      </w:r>
      <w:r>
        <w:t xml:space="preserve">4258</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Campbell)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Education;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10, Nays 0, 1</w:t>
      </w:r>
      <w:r xml:space="preserve">
        <w:t> </w:t>
      </w:r>
      <w:r>
        <w:t xml:space="preserve">present not voting;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4258</w:t>
      </w:r>
      <w:r xml:space="preserve">
        <w:tab wTab="150" tlc="none" cTlc="0"/>
      </w:r>
      <w:r>
        <w:t xml:space="preserve">By:</w:t>
      </w:r>
      <w:r xml:space="preserve">
        <w:t> </w:t>
      </w:r>
      <w:r xml:space="preserve">
        <w:t> </w:t>
      </w:r>
      <w:r>
        <w:t xml:space="preserve">Watson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review and approval by the attorney general of certain bonds financing an educational facility for certain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53.40,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has sole authority to review the record of public notice and hearings relating to any bond financing an educational facility for an authorized charter school, and the attorney general may issue an approval as required by Section 147(f), Internal Revenue Code of 1986.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