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4260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possession and administration of an epinephrine auto-injector by certain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773.014, Health and Safety Code, is amended to read as follows:</w:t>
      </w:r>
    </w:p>
    <w:p w:rsidR="003F3435" w:rsidRDefault="0032493E">
      <w:pPr>
        <w:spacing w:line="480" w:lineRule="auto"/>
        <w:ind w:firstLine="720"/>
        <w:jc w:val="both"/>
      </w:pPr>
      <w:r>
        <w:t xml:space="preserve">Sec.</w:t>
      </w:r>
      <w:r xml:space="preserve">
        <w:t> </w:t>
      </w:r>
      <w:r>
        <w:t xml:space="preserve">773.014.</w:t>
      </w:r>
      <w:r xml:space="preserve">
        <w:t> </w:t>
      </w:r>
      <w:r xml:space="preserve">
        <w:t> </w:t>
      </w:r>
      <w:r>
        <w:t xml:space="preserve">ADMINISTRATION OF EPINEPHRINE </w:t>
      </w:r>
      <w:r>
        <w:rPr>
          <w:u w:val="single"/>
        </w:rPr>
        <w:t xml:space="preserve">BY EMERGENCY MEDICAL SERVICES PERSONNEL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773, Health and Safety Code, is amended by adding Section 773.0145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773.0145.</w:t>
      </w:r>
      <w:r>
        <w:rPr>
          <w:u w:val="single"/>
        </w:rPr>
        <w:t xml:space="preserve"> </w:t>
      </w:r>
      <w:r>
        <w:rPr>
          <w:u w:val="single"/>
        </w:rPr>
        <w:t xml:space="preserve"> </w:t>
      </w:r>
      <w:r>
        <w:rPr>
          <w:u w:val="single"/>
        </w:rPr>
        <w:t xml:space="preserve">POSSESSION AND ADMINISTRATION OF EPINEPHRINE BY CERTAIN ENTITIES.  (a)  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amusement park, as defined by Section 46.035,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child-care facility, as defined by Section 42.002, Human Resources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day camp or youth camp, as defined by Section 141.002;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private or independent institution of higher education, as defined by Section 61.003,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restaurant, as defined by Section 17.821, Business &amp; Commerce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sports venue, as defined by Section 504.151, Local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youth center, as defined by Section 481.134;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subject to Subsection (b), any other entity that the executive commissioner by rule designates as an entity that would benefit from the possession and administration of epinephrine auto-injectors.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governmental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described by Subsection (a) may adopt a policy regarding the maintenance, administration, and disposal of epinephrine auto-injectors.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policy adopted under Subsection (c) must provide that only an entity employee or volunteer who is authorized and trained may administer an epinephrine auto-injector to a person who is reasonably believed to be experiencing anaphylaxis on the premises of the entity.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shall adopt rules regarding the maintenance, administration, and disposal of an epinephrine auto-injector by an entity subject to a policy adopted under Subsection (c). </w:t>
      </w:r>
      <w:r>
        <w:rPr>
          <w:u w:val="single"/>
        </w:rPr>
        <w:t xml:space="preserve"> </w:t>
      </w:r>
      <w:r>
        <w:rPr>
          <w:u w:val="single"/>
        </w:rPr>
        <w:t xml:space="preserve">The rules must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epinephrine auto-injectors and the dosages of the auto-injectors available at each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process for each entity to verify the inventory of epinephrine auto-injectors at regular intervals for expiration and replacement;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training required for an entity employee or volunteer to administer an epinephrine auto-injector.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entity that adopts a policy under Subsection (c) must have at least one entity employee or volunteer authorized and trained to administer an epinephrine auto-injector present during all hours the entity is open to the public or to the population that the entity serves, as applicable.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supply of epinephrine auto-injectors at each entity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stored in accordance with the manufacturer's instructions in a secure location;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easily accessible to an entity employee or volunteer authorized and trained to administer an epinephrine auto-injector.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entity that adopts a policy under Subsection (c) is responsible for training the entity's employees and volunteers in the administration of an epinephrine auto-injector.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Employee and volunteer training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information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signs and symptoms of anaphylaxis;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recommended dosages for an adult and a child;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administration of an epinephrine auto-injector;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implementation of emergency procedures, if necessary, after administering an epinephrine auto-injector;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proper disposal of used or expired epinephrine auto-injectors;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completed annually in a formal training session or through online education.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Each entity shall maintain records on the training completed by each employee and volunteer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physician or person who has been delegated prescriptive authority under Chapter 157, Occupations Code, may prescribe epinephrine auto-injectors in the name of an entity.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physician or other person who prescribes epinephrine auto-injectors under Subsection (k) shall provide the entity with a standing order for the administration of an epinephrine auto-injector to a person reasonably believed to be experiencing anaphylaxis.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standing order under Subsection (l) is not required to be patient-specific, and the epinephrine auto-injector may be administered to a person without a previously established physician-patient relationship.</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Notwithstanding any other law, supervision or delegation by a physician is considered adequate if the physician: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periodically reviews the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available through direct telecommunication as needed for consultation, assistance, and direction.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For purposes of Subsection (n)(2), a person who has been delegated prescriptive authority under Chapter 157, Occupations Code, is not engaged in the unauthorized practice of telemedicine or acting outside the person's scope of practice by consulting a physician as provided by that subdivision when prescribing an epinephrine auto-injector in accordance with this section.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An order issued under this section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signature of the prescriber;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entity to which the order is issued;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quantity of epinephrine auto-injectors to be obtained and maintained under the order;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of issue.</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pharmacist may dispense an epinephrine auto-injector to an entity without requiring the name or any other identifying information relating to the user.</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A person who in good faith takes, or fails to take, any action under this section is immune from civil or criminal liability or disciplinary action resulting from that action or failure to act,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issuing an order for epinephrine auto-injectors;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supervising or delegating the administration of an epinephrine auto-injector;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possessing, maintaining, storing, or disposing of an epinephrine auto-injector;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prescribing an epinephrine auto-injector;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dispensing an epinephrine auto-injector;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administering, or assisting in administering, an epinephrine auto-injector;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providing, or assisting in providing, training, consultation, or advice in the development, adoption, or implementation of policies, guidelines, rules, or plans;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undertaking any other act permitted or required under this section.</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immunities and protections provided by this section are in addition to other immunities or limitations of liability provided by law.</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Notwithstanding any other law, this section does not create a civil, criminal, or administrative cause of action or liability or create a standard of care, obligation, or duty that provides a basis for a cause of action for an act or omission under this section.</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A cause of action does not arise from an act or omission described by this section.</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An entity and entity employees or volunteers are immune from suit resulting from an act, or failure to act, under this section, including an act or failure to act under related policies and procedures.</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An act or failure to act by entity employees or volunteers under this section, including an act or failure to act under related policies and procedures, is the exercise of judgment or discretion on the part of the entity employee or volunteer and is not considered to be a ministerial act for purposes of liability of the entity.</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4260 was passed by the House on May 3, 2019, by the following vote:</w:t>
      </w:r>
      <w:r xml:space="preserve">
        <w:t> </w:t>
      </w:r>
      <w:r xml:space="preserve">
        <w:t> </w:t>
      </w:r>
      <w:r>
        <w:t xml:space="preserve">Yeas 134, Nays 6, 2 present, not voting; and that the House concurred in Senate amendments to H.B. No. 4260 on May 24, 2019, by the following vote:</w:t>
      </w:r>
      <w:r xml:space="preserve">
        <w:t> </w:t>
      </w:r>
      <w:r xml:space="preserve">
        <w:t> </w:t>
      </w:r>
      <w:r>
        <w:t xml:space="preserve">Yeas 133, Nays 7,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4260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