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4262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aircraft liens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70.301, Property Code, is amended to read as follows:</w:t>
      </w:r>
    </w:p>
    <w:p w:rsidR="003F3435" w:rsidRDefault="0032493E">
      <w:pPr>
        <w:spacing w:line="480" w:lineRule="auto"/>
        <w:ind w:firstLine="720"/>
        <w:jc w:val="both"/>
      </w:pPr>
      <w:r>
        <w:t xml:space="preserve">Sec.</w:t>
      </w:r>
      <w:r xml:space="preserve">
        <w:t> </w:t>
      </w:r>
      <w:r>
        <w:t xml:space="preserve">70.301.</w:t>
      </w:r>
      <w:r xml:space="preserve">
        <w:t> </w:t>
      </w:r>
      <w:r xml:space="preserve">
        <w:t> </w:t>
      </w:r>
      <w:r>
        <w:t xml:space="preserve">LIEN.  </w:t>
      </w:r>
      <w:r>
        <w:t xml:space="preserve">(a)  A person who stores, fuels, repairs, or performs maintenance work on an aircraft has a lien on the aircraft for:</w:t>
      </w:r>
    </w:p>
    <w:p w:rsidR="003F3435" w:rsidRDefault="0032493E">
      <w:pPr>
        <w:spacing w:line="480" w:lineRule="auto"/>
        <w:ind w:firstLine="1440"/>
        <w:jc w:val="both"/>
      </w:pPr>
      <w:r>
        <w:t xml:space="preserve">(1)</w:t>
      </w:r>
      <w:r xml:space="preserve">
        <w:t> </w:t>
      </w:r>
      <w:r xml:space="preserve">
        <w:t> </w:t>
      </w:r>
      <w:r>
        <w:t xml:space="preserve">the amount due under a contract for the storage, fuel, repairs, or maintenance work; or</w:t>
      </w:r>
    </w:p>
    <w:p w:rsidR="003F3435" w:rsidRDefault="0032493E">
      <w:pPr>
        <w:spacing w:line="480" w:lineRule="auto"/>
        <w:ind w:firstLine="1440"/>
        <w:jc w:val="both"/>
      </w:pPr>
      <w:r>
        <w:t xml:space="preserve">(2)</w:t>
      </w:r>
      <w:r xml:space="preserve">
        <w:t> </w:t>
      </w:r>
      <w:r xml:space="preserve">
        <w:t> </w:t>
      </w:r>
      <w:r>
        <w:t xml:space="preserve">if no amount is specified by contract, the reasonable and usual compensation for the storage, fuel, repairs, or maintenance work.</w:t>
      </w:r>
    </w:p>
    <w:p w:rsidR="003F3435" w:rsidRDefault="0032493E">
      <w:pPr>
        <w:spacing w:line="480" w:lineRule="auto"/>
        <w:ind w:firstLine="720"/>
        <w:jc w:val="both"/>
      </w:pPr>
      <w:r>
        <w:t xml:space="preserve">(b)</w:t>
      </w:r>
      <w:r xml:space="preserve">
        <w:t> </w:t>
      </w:r>
      <w:r xml:space="preserve">
        <w:t> </w:t>
      </w:r>
      <w:r>
        <w:t xml:space="preserve">This subchapter applies to a contract for storage only if it is:</w:t>
      </w:r>
    </w:p>
    <w:p w:rsidR="003F3435" w:rsidRDefault="0032493E">
      <w:pPr>
        <w:spacing w:line="480" w:lineRule="auto"/>
        <w:ind w:firstLine="1440"/>
        <w:jc w:val="both"/>
      </w:pPr>
      <w:r>
        <w:t xml:space="preserve">(1)</w:t>
      </w:r>
      <w:r xml:space="preserve">
        <w:t> </w:t>
      </w:r>
      <w:r xml:space="preserve">
        <w:t> </w:t>
      </w:r>
      <w:r>
        <w:t xml:space="preserve">written; or</w:t>
      </w:r>
    </w:p>
    <w:p w:rsidR="003F3435" w:rsidRDefault="0032493E">
      <w:pPr>
        <w:spacing w:line="480" w:lineRule="auto"/>
        <w:ind w:firstLine="1440"/>
        <w:jc w:val="both"/>
      </w:pPr>
      <w:r>
        <w:t xml:space="preserve">(2)</w:t>
      </w:r>
      <w:r xml:space="preserve">
        <w:t> </w:t>
      </w:r>
      <w:r xml:space="preserve">
        <w:t> </w:t>
      </w:r>
      <w:r>
        <w:t xml:space="preserve">oral and provides for a storage period of at least 30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fuelings provided both within or outside of the State of Texas or the United States; except that, notwithstanding the foregoing provision, this section shall not apply to fueling of an aircraft owned, leased, operated by or operated on behalf of an air carrier that is certificated to conduct scheduled air transportation services under Part 121 of Title 14 of the Code of Federal Regulations.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70, Property Code, is amended by adding Section 70.308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70.308.</w:t>
      </w:r>
      <w:r>
        <w:rPr>
          <w:u w:val="single"/>
        </w:rPr>
        <w:t xml:space="preserve"> </w:t>
      </w:r>
      <w:r>
        <w:rPr>
          <w:u w:val="single"/>
        </w:rPr>
        <w:t xml:space="preserve"> </w:t>
      </w:r>
      <w:r>
        <w:rPr>
          <w:u w:val="single"/>
        </w:rPr>
        <w:t xml:space="preserve">PERSONS WHO MAY BIND AIRCRAFT  (a)  The following persons are presumed to be authorized by the owner of an aircraft to incur charges that give rise to a lien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managing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aircraft's lessee;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pilot, co-pilot, engineer or first officer;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aircraft charter operator;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aircraft scheduler, fuel manager and dispatcher;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aircraft management company;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entrusted with possession of the aircraft upon arrival at a fixed base operator.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tortiously or unlawfully in possession or charge of an aircraft may not bind the aircraft.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clauses (a) and (b) of this §70.308 shall not apply to an aircraft owned, leased, operated by, or operated by an air carrier that is certificated to conduct scheduled airline operations under Part 121 of Title 14 of the Code of Federal Regulations.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