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86R15597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redaction of an unconstitutional restriction from an instrument conveying an interest in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Property Code, is amended by adding Section 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11.009.</w:t>
      </w:r>
      <w:r>
        <w:rPr>
          <w:u w:val="single"/>
        </w:rPr>
        <w:t xml:space="preserve"> </w:t>
      </w:r>
      <w:r>
        <w:rPr>
          <w:u w:val="single"/>
        </w:rPr>
        <w:t xml:space="preserve"> </w:t>
      </w:r>
      <w:r>
        <w:rPr>
          <w:u w:val="single"/>
        </w:rPr>
        <w:t xml:space="preserve">REDACTION OF UNCONSTITUTIONAL RESTRICTIONS.  (a)  If a grantee of an instrument conveying an interest in real property believes that a restriction in the instrument violates the constitution of this state or of the United States, the grantee may bring an action against the county in which the instrument is recorded to request the redaction of the restriction from the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Subsection (a) may be brought in the county in which the instrument is recorded.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finds that a restriction provided for by an instrument conveying an interest in real property violates the constitution of this state or of the United States, the court shall enter a written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instrument and the specific language that the court finds violates the constitution of this state or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the county clerk to redact the restriction from the instrument.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written order from a judge issued under Subsection (c), the county clerk shall redact from the instrument identified by the order the specific language identified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