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86R13486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Zedler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informed consent to immunizations for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32.102(a) and (c), Family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Before administering an immunization to a child, a health care provider must obtain the informed consent of a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person authorized to consent to [</w:t>
      </w:r>
      <w:r>
        <w:rPr>
          <w:strike/>
        </w:rPr>
        <w:t xml:space="preserve">the</w:t>
      </w:r>
      <w:r>
        <w:t xml:space="preserve">] immunization of </w:t>
      </w:r>
      <w:r>
        <w:rPr>
          <w:u w:val="single"/>
        </w:rPr>
        <w:t xml:space="preserve">the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child [</w:t>
      </w:r>
      <w:r>
        <w:rPr>
          <w:strike/>
        </w:rPr>
        <w:t xml:space="preserve">has the responsibility to ensure that the consent, if given, is an informed consent</w:t>
      </w:r>
      <w:r>
        <w:t xml:space="preserve">].  The person authorized to consent is not required to be present when [</w:t>
      </w:r>
      <w:r>
        <w:rPr>
          <w:strike/>
        </w:rPr>
        <w:t xml:space="preserve">the</w:t>
      </w:r>
      <w:r>
        <w:t xml:space="preserve">] immunization of the child is requested if a consent form that meets the requirements of Section 32.002 has been given to the health care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As part of the information given in the counseling for informed consent, the health care provider shall provide [</w:t>
      </w:r>
      <w:r>
        <w:rPr>
          <w:strike/>
        </w:rPr>
        <w:t xml:space="preserve">information to inform</w:t>
      </w:r>
      <w:r>
        <w:t xml:space="preserve">] the person authorized to consent to immunization </w:t>
      </w:r>
      <w:r>
        <w:rPr>
          <w:u w:val="single"/>
        </w:rPr>
        <w:t xml:space="preserve">information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benefits and risks of immunization, including any vaccine information statement required by the National Childhood Vaccine Injury Act of 1986 (42 U.S.C. Section 300aa-1 et seq.);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of</w:t>
      </w:r>
      <w:r>
        <w:t xml:space="preserve">] the procedures available under the National Childhood Vaccine Injury Act of 1986 (42 U.S.C. Section 300aa-1 et seq.) to seek possible recovery for unreimbursed expenses for certain injuries arising out of the administration of certain vaccines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vaccine excipient and media summary published by the Centers for Disease Control and Prevention for each immunization to be administered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