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the consumer complaint review panel by the State Office of Administrative Hearings to conduct certain insurance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2003, Government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INSURANCE APPEALS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2003.151.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"Department" means the Texas Department of Insurance.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"Panel" means the consumer complaint review panel established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2003.152.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CONSUMER COMPLAINT REVIEW PANEL.  (a)  The office shall establish a consumer complaint review panel to conduct an appeal from the complaint resolution program established under Chapter 521, Insurance Code, of a policyholder complaint: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denied by the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determined to be without merit by the department;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the department did not confirm receipt of the complaint.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this subchapter, an appeal under this section is a contested case under Chapter 2001.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2003.152.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TIMELINESS OF APPEAL.  (a)  The panel shall conduct all appeals under this subchapter in a timely manner.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panel shall use every reasonable means to expedite an appeal under this subchapter when the policyholder or department provides good cause that the panel expedite the appeal.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2003.153.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 OF INFORMATION.  (a)  The panel shall keep information that identifies a policyholder who participates in an appeal under this subchapter confidential, including the policyholder's name and medical condition, if applicable.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of information to the panel that is confidential under any law does not affect the confidentiality of the information, and the panel shall maintain that confidentiality.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appeal conducted under this subchapter is confidential and not open to the public.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2003.154.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DECISION.  The panel shall determine whether an appeal conducted under this subchapter has merit and if so, remand the case to the department for resolution.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2003.155.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 The commissioner of insurance may adopt rules necessary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the State</w:t>
      </w:r>
      <w:r>
        <w:t xml:space="preserve"> Office of Administrative Hearings shall establish the consumer complaint review panel under Section 2003.152,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