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86R3402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commissioner of education to create career and technical credentials and certificates that may be earned through a career and technology education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29, Education Code, is amended by adding Section 29.1821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29.1821.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COMMISSIONER AUTHORITY TO CREATE CREDENTIALS AND CERTIFICATES.  (a) </w:t>
      </w:r>
      <w:r>
        <w:rPr>
          <w:u w:val="single"/>
        </w:rPr>
        <w:t xml:space="preserve"> </w:t>
      </w:r>
      <w:r>
        <w:rPr>
          <w:u w:val="single"/>
        </w:rPr>
        <w:t xml:space="preserve">To address unmet workforce needs and enhance student competitiveness in the labor market, the commissioner may create career and technical credentials or certificates that may be earned by a public high school student through a career and technology education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credential or certificate created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aligned with state and regional workforce needs in the applicable field;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 as an entry point for employment or a bridge to postsecondary education in the applicable field.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consult with relevant stakeholders in creating credentials or certificates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post on the agency's Internet website information regarding any credentials or certificates created by the commissioner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