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86R11776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Zedler, Bell of Kaufman</w:t>
      </w:r>
      <w:r xml:space="preserve">
        <w:tab wTab="150" tlc="none" cTlc="0"/>
      </w:r>
      <w:r>
        <w:t xml:space="preserve">H.B.</w:t>
      </w:r>
      <w:r xml:space="preserve">
        <w:t> </w:t>
      </w:r>
      <w:r>
        <w:t xml:space="preserve">No.</w:t>
      </w:r>
      <w:r xml:space="preserve">
        <w:t> </w:t>
      </w:r>
      <w:r>
        <w:t xml:space="preserve">4287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of persons charged with certain offenses to receive community supervision, including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rPr>
          <w:u w:val="single"/>
        </w:rPr>
        <w:t xml:space="preserve">Section 20A.03, Penal Code (Continuous Trafficking of Persons);</w:t>
      </w:r>
    </w:p>
    <w:p w:rsidR="003F3435" w:rsidRDefault="0032493E">
      <w:pPr>
        <w:spacing w:line="480" w:lineRule="auto"/>
        <w:ind w:firstLine="1440"/>
        <w:jc w:val="both"/>
      </w:pPr>
      <w:r>
        <w:rPr>
          <w:u w:val="single"/>
        </w:rPr>
        <w:t xml:space="preserve">(7)</w:t>
      </w:r>
      <w:r xml:space="preserve">
        <w:t> </w:t>
      </w:r>
      <w:r xml:space="preserve">
        <w:t> </w:t>
      </w:r>
      <w:r>
        <w:t xml:space="preserve">Section </w:t>
      </w:r>
      <w:r>
        <w:rPr>
          <w:u w:val="single"/>
        </w:rPr>
        <w:t xml:space="preserve">21.11</w:t>
      </w:r>
      <w:r>
        <w:t xml:space="preserve"> [</w:t>
      </w:r>
      <w:r>
        <w:rPr>
          <w:strike/>
        </w:rPr>
        <w:t xml:space="preserve">21.11(a)(1)</w:t>
      </w:r>
      <w:r>
        <w:t xml:space="preserve">], Penal Code (Indecency with a Child);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Section 22.011, Penal Code (Sexual Assault);</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Section 22.021, Penal Code (Aggravated Sexual Assault);</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Section 29.03, Penal Code (Aggravated Robbery);</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43.04, Penal Code (Aggravated Promotion of Prostitution);</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Section 43.05, Penal Code (Compelling Prostitution);</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Section 43.25, Penal Code (Sexual Performance by a Child); or</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w:t>
      </w:r>
      <w:r>
        <w:t xml:space="preserve">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19.02,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w:t>
      </w:r>
      <w:r>
        <w:rPr>
          <w:u w:val="single"/>
        </w:rPr>
        <w:t xml:space="preserve">21.11</w:t>
      </w:r>
      <w:r>
        <w:t xml:space="preserve"> [</w:t>
      </w:r>
      <w:r>
        <w:rPr>
          <w:strike/>
        </w:rPr>
        <w:t xml:space="preserve">21.11(a)(1)</w:t>
      </w:r>
      <w:r>
        <w:t xml:space="preserve">], 22.011, or 22.021, Penal Code[</w:t>
      </w:r>
      <w:r>
        <w:rPr>
          <w:strike/>
        </w:rPr>
        <w:t xml:space="preserve">, if the victim of the offense was younger than 14 years of age at the time the offense was committed</w:t>
      </w:r>
      <w:r>
        <w:t xml:space="preserve">];</w:t>
      </w:r>
    </w:p>
    <w:p w:rsidR="003F3435" w:rsidRDefault="0032493E">
      <w:pPr>
        <w:spacing w:line="480" w:lineRule="auto"/>
        <w:ind w:firstLine="1440"/>
        <w:jc w:val="both"/>
      </w:pPr>
      <w:r>
        <w:t xml:space="preserve">(5)</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20A.02, </w:t>
      </w:r>
      <w:r>
        <w:rPr>
          <w:u w:val="single"/>
        </w:rPr>
        <w:t xml:space="preserve">20A.03, 43.04,</w:t>
      </w:r>
      <w:r>
        <w:t xml:space="preserve"> 43.05, or 43.25, Penal Code; or</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42A.102, Code of Criminal Procedure, is amended to read as follows:</w:t>
      </w:r>
    </w:p>
    <w:p w:rsidR="003F3435" w:rsidRDefault="0032493E">
      <w:pPr>
        <w:spacing w:line="480" w:lineRule="auto"/>
        <w:ind w:firstLine="720"/>
        <w:jc w:val="both"/>
      </w:pPr>
      <w:r>
        <w:t xml:space="preserve">Art.</w:t>
      </w:r>
      <w:r xml:space="preserve">
        <w:t> </w:t>
      </w:r>
      <w:r>
        <w:t xml:space="preserve">42A.102.</w:t>
      </w:r>
      <w:r xml:space="preserve">
        <w:t> </w:t>
      </w:r>
      <w:r xml:space="preserve">
        <w:t> </w:t>
      </w:r>
      <w:r>
        <w:t xml:space="preserve">ELIGIBILITY FOR DEFERRED ADJUDICATION COMMUNITY SUPERVISION. </w:t>
      </w:r>
      <w:r>
        <w:t xml:space="preserve"> </w:t>
      </w:r>
      <w:r>
        <w:t xml:space="preserve">(a) </w:t>
      </w:r>
      <w:r>
        <w:t xml:space="preserve"> </w:t>
      </w:r>
      <w:r>
        <w:t xml:space="preserve">A judge may place on deferred adjudication community supervision a defendant charged with an offense under Section 21.11 </w:t>
      </w:r>
      <w:r>
        <w:rPr>
          <w:u w:val="single"/>
        </w:rPr>
        <w:t xml:space="preserve">or</w:t>
      </w:r>
      <w:r>
        <w:t xml:space="preserve"> [</w:t>
      </w:r>
      <w:r>
        <w:rPr>
          <w:strike/>
        </w:rPr>
        <w:t xml:space="preserve">,</w:t>
      </w:r>
      <w:r>
        <w:t xml:space="preserve">] 22.011, [</w:t>
      </w:r>
      <w:r>
        <w:rPr>
          <w:strike/>
        </w:rPr>
        <w:t xml:space="preserve">or 22.021,</w:t>
      </w:r>
      <w:r>
        <w:t xml:space="preserve">] Penal Code, regardless of the age of the victim, or a defendant charged with a felony described by Article 42A.453(b)</w:t>
      </w:r>
      <w:r>
        <w:rPr>
          <w:u w:val="single"/>
        </w:rPr>
        <w:t xml:space="preserve">, other than a felony described by Subsection (b)(1)(A) of this article,</w:t>
      </w:r>
      <w:r>
        <w:t xml:space="preserve"> only if the judge makes a finding in open court that placing the defendant on deferred adjudication community supervision is in the best interest of the victim. </w:t>
      </w:r>
      <w:r>
        <w:t xml:space="preserve"> </w:t>
      </w:r>
      <w:r>
        <w:t xml:space="preserve">The failure of the judge to make a finding under this subsection is not grounds for the defendant to set aside the plea, deferred adjudication, or any subsequent conviction or sentence.</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w:t>
      </w:r>
      <w:r>
        <w:rPr>
          <w:u w:val="single"/>
        </w:rPr>
        <w:t xml:space="preserve">Section 20A.02, 20A.03, 21.02, 22.021, 43.04, 43.05, or 43.25 or</w:t>
      </w:r>
      <w:r>
        <w:t xml:space="preserve"> Sections 49.04-49.08, Penal Code; or</w:t>
      </w:r>
    </w:p>
    <w:p w:rsidR="003F3435" w:rsidRDefault="0032493E">
      <w:pPr>
        <w:spacing w:line="480" w:lineRule="auto"/>
        <w:ind w:firstLine="2160"/>
        <w:jc w:val="both"/>
      </w:pPr>
      <w:r>
        <w:t xml:space="preserve">(B)</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w:t>
      </w:r>
      <w:r>
        <w:rPr>
          <w:u w:val="single"/>
        </w:rPr>
        <w:t xml:space="preserve">or</w:t>
      </w:r>
      <w:r>
        <w:t xml:space="preserve"> [</w:t>
      </w:r>
      <w:r>
        <w:rPr>
          <w:strike/>
        </w:rPr>
        <w:t xml:space="preserve">,</w:t>
      </w:r>
      <w:r>
        <w:t xml:space="preserve">] 22.011, [</w:t>
      </w:r>
      <w:r>
        <w:rPr>
          <w:strike/>
        </w:rPr>
        <w:t xml:space="preserve">or 22.021,</w:t>
      </w:r>
      <w:r>
        <w:t xml:space="preserve">] Penal Code, regardless of the age of the victim, or a felony described by Article 42A.453(b)</w:t>
      </w:r>
      <w:r>
        <w:rPr>
          <w:u w:val="single"/>
        </w:rPr>
        <w:t xml:space="preserve">, other than a felony described by Subdivision (1)(A) of this subsection</w:t>
      </w:r>
      <w:r>
        <w:t xml:space="preserve">;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defendant is charged with an offense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Section 21.02, Penal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22.021, Penal Code, that is punishable under Subsection (f) of that section or under Section 12.42(c)(3) or (4), Penal Code; or</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w:t>
      </w:r>
      <w:r>
        <w:rPr>
          <w:strike/>
        </w:rPr>
        <w:t xml:space="preserve">(6),</w:t>
      </w:r>
      <w:r>
        <w:t xml:space="preserve">] (7), (8), </w:t>
      </w:r>
      <w:r>
        <w:rPr>
          <w:u w:val="single"/>
        </w:rPr>
        <w:t xml:space="preserve">(9), (11)</w:t>
      </w:r>
      <w:r>
        <w:t xml:space="preserve"> [</w:t>
      </w:r>
      <w:r>
        <w:rPr>
          <w:strike/>
        </w:rPr>
        <w:t xml:space="preserve">(10)</w:t>
      </w:r>
      <w:r>
        <w:t xml:space="preserve">], or </w:t>
      </w:r>
      <w:r>
        <w:rPr>
          <w:u w:val="single"/>
        </w:rPr>
        <w:t xml:space="preserve">(16)</w:t>
      </w:r>
      <w:r>
        <w:t xml:space="preserve"> [</w:t>
      </w:r>
      <w:r>
        <w:rPr>
          <w:strike/>
        </w:rPr>
        <w:t xml:space="preserve">(14)</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for which points are assigned under Section 708.052,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w:t>
      </w:r>
      <w:r>
        <w:rPr>
          <w:strike/>
        </w:rPr>
        <w:t xml:space="preserve">(6),</w:t>
      </w:r>
      <w:r>
        <w:t xml:space="preserve">] (7), (8), </w:t>
      </w:r>
      <w:r>
        <w:rPr>
          <w:u w:val="single"/>
        </w:rPr>
        <w:t xml:space="preserve">(9), (11)</w:t>
      </w:r>
      <w:r>
        <w:t xml:space="preserve"> [</w:t>
      </w:r>
      <w:r>
        <w:rPr>
          <w:strike/>
        </w:rPr>
        <w:t xml:space="preserve">(10)</w:t>
      </w:r>
      <w:r>
        <w:t xml:space="preserve">], or </w:t>
      </w:r>
      <w:r>
        <w:rPr>
          <w:u w:val="single"/>
        </w:rPr>
        <w:t xml:space="preserve">(16)</w:t>
      </w:r>
      <w:r>
        <w:t xml:space="preserve"> [</w:t>
      </w:r>
      <w:r>
        <w:rPr>
          <w:strike/>
        </w:rPr>
        <w:t xml:space="preserve">(14)</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